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72" w:type="dxa"/>
        <w:tblLayout w:type="fixed"/>
        <w:tblLook w:val="0000" w:firstRow="0" w:lastRow="0" w:firstColumn="0" w:lastColumn="0" w:noHBand="0" w:noVBand="0"/>
      </w:tblPr>
      <w:tblGrid>
        <w:gridCol w:w="5472"/>
        <w:gridCol w:w="4200"/>
      </w:tblGrid>
      <w:tr w:rsidR="008050A4">
        <w:trPr>
          <w:cantSplit/>
          <w:trHeight w:val="3140"/>
        </w:trPr>
        <w:tc>
          <w:tcPr>
            <w:tcW w:w="5472" w:type="dxa"/>
          </w:tcPr>
          <w:p w:rsidR="00656D7F" w:rsidRDefault="00656D7F" w:rsidP="00656D7F">
            <w:pPr>
              <w:pStyle w:val="FirmInformation"/>
              <w:widowControl/>
              <w:rPr>
                <w:caps/>
              </w:rPr>
            </w:pPr>
            <w:bookmarkStart w:id="0" w:name="_zzmpFIXED_CounselTable"/>
            <w:bookmarkStart w:id="1" w:name="_GoBack"/>
            <w:bookmarkEnd w:id="1"/>
            <w:r>
              <w:t xml:space="preserve">Stephen G. Larson </w:t>
            </w:r>
            <w:r>
              <w:rPr>
                <w:caps/>
              </w:rPr>
              <w:t>(SBN 145225)</w:t>
            </w:r>
          </w:p>
          <w:p w:rsidR="00656D7F" w:rsidRDefault="00656D7F" w:rsidP="00656D7F">
            <w:pPr>
              <w:pStyle w:val="FirmInformation"/>
              <w:widowControl/>
              <w:rPr>
                <w:caps/>
              </w:rPr>
            </w:pPr>
            <w:r>
              <w:t>Jonathan E. Phillips</w:t>
            </w:r>
            <w:r>
              <w:rPr>
                <w:caps/>
              </w:rPr>
              <w:t xml:space="preserve"> (SBN 233965)</w:t>
            </w:r>
          </w:p>
          <w:p w:rsidR="00656D7F" w:rsidRDefault="00656D7F" w:rsidP="00656D7F">
            <w:pPr>
              <w:pStyle w:val="FirmInformation"/>
              <w:widowControl/>
              <w:rPr>
                <w:rFonts w:hAnsi="Times New Roman Bold"/>
                <w:b/>
                <w:caps/>
              </w:rPr>
            </w:pPr>
            <w:r>
              <w:rPr>
                <w:rFonts w:hAnsi="Times New Roman Bold"/>
                <w:b/>
                <w:caps/>
              </w:rPr>
              <w:t>LARSON O</w:t>
            </w:r>
            <w:r>
              <w:rPr>
                <w:rFonts w:hAnsi="Times New Roman Bold"/>
                <w:b/>
                <w:caps/>
              </w:rPr>
              <w:t>’</w:t>
            </w:r>
            <w:r>
              <w:rPr>
                <w:rFonts w:hAnsi="Times New Roman Bold"/>
                <w:b/>
                <w:caps/>
              </w:rPr>
              <w:t>BRIEN LLP</w:t>
            </w:r>
          </w:p>
          <w:p w:rsidR="00656D7F" w:rsidRDefault="00656D7F" w:rsidP="00656D7F">
            <w:pPr>
              <w:pStyle w:val="FirmInformation"/>
              <w:widowControl/>
            </w:pPr>
            <w:r>
              <w:t>555 South Flo</w:t>
            </w:r>
            <w:r w:rsidR="00611977">
              <w:t>w</w:t>
            </w:r>
            <w:r w:rsidR="00BD6F59">
              <w:t>e</w:t>
            </w:r>
            <w:r>
              <w:t>r Street, Suite 4400</w:t>
            </w:r>
            <w:r>
              <w:br/>
              <w:t>Los Angeles, CA  90071</w:t>
            </w:r>
          </w:p>
          <w:p w:rsidR="00656D7F" w:rsidRDefault="00656D7F" w:rsidP="00656D7F">
            <w:pPr>
              <w:pStyle w:val="FirmInformation"/>
              <w:widowControl/>
            </w:pPr>
            <w:r>
              <w:t>Telephone:</w:t>
            </w:r>
            <w:r w:rsidR="00BD6F59">
              <w:t xml:space="preserve">  2</w:t>
            </w:r>
            <w:r>
              <w:t>13.436.4888</w:t>
            </w:r>
          </w:p>
          <w:p w:rsidR="00BD6F59" w:rsidRDefault="00BD6F59" w:rsidP="00656D7F">
            <w:pPr>
              <w:pStyle w:val="FirmInformation"/>
              <w:widowControl/>
            </w:pPr>
            <w:r>
              <w:t>Facsimile:  213.623.2000</w:t>
            </w:r>
          </w:p>
          <w:p w:rsidR="00656D7F" w:rsidRPr="00656D7F" w:rsidRDefault="00656D7F" w:rsidP="00656D7F">
            <w:pPr>
              <w:pStyle w:val="FirmInformation"/>
              <w:tabs>
                <w:tab w:val="left" w:pos="1440"/>
              </w:tabs>
              <w:rPr>
                <w:color w:val="000000"/>
              </w:rPr>
            </w:pPr>
            <w:r w:rsidRPr="00656D7F">
              <w:rPr>
                <w:color w:val="000000"/>
              </w:rPr>
              <w:t>Email:</w:t>
            </w:r>
            <w:r w:rsidR="00BD6F59">
              <w:rPr>
                <w:color w:val="000000"/>
              </w:rPr>
              <w:t xml:space="preserve">  </w:t>
            </w:r>
            <w:r w:rsidRPr="00656D7F">
              <w:rPr>
                <w:color w:val="000000"/>
              </w:rPr>
              <w:t>slarson@larsonobrienlaw.com</w:t>
            </w:r>
          </w:p>
          <w:p w:rsidR="00656D7F" w:rsidRPr="00656D7F" w:rsidRDefault="00656D7F" w:rsidP="00656D7F">
            <w:pPr>
              <w:pStyle w:val="FirmInformation"/>
              <w:tabs>
                <w:tab w:val="left" w:pos="1440"/>
              </w:tabs>
              <w:rPr>
                <w:color w:val="000000"/>
              </w:rPr>
            </w:pPr>
            <w:r w:rsidRPr="00656D7F">
              <w:rPr>
                <w:color w:val="000000"/>
              </w:rPr>
              <w:t>Email:</w:t>
            </w:r>
            <w:r w:rsidR="00BD6F59">
              <w:rPr>
                <w:color w:val="000000"/>
              </w:rPr>
              <w:t xml:space="preserve">  </w:t>
            </w:r>
            <w:r>
              <w:t xml:space="preserve">jphillips@larsonobrienlaw.com </w:t>
            </w:r>
          </w:p>
          <w:p w:rsidR="00656D7F" w:rsidRDefault="00656D7F" w:rsidP="00656D7F">
            <w:pPr>
              <w:pStyle w:val="FlushLeft"/>
              <w:ind w:left="90"/>
            </w:pPr>
          </w:p>
          <w:p w:rsidR="00656D7F" w:rsidRDefault="00656D7F" w:rsidP="00656D7F">
            <w:pPr>
              <w:pStyle w:val="FlushLeft"/>
            </w:pPr>
            <w:r>
              <w:t>Jennifer L. Keller (SBN 84412)</w:t>
            </w:r>
          </w:p>
          <w:p w:rsidR="00656D7F" w:rsidRDefault="00656D7F" w:rsidP="00656D7F">
            <w:pPr>
              <w:pStyle w:val="FlushLeft"/>
              <w:rPr>
                <w:b/>
              </w:rPr>
            </w:pPr>
            <w:r>
              <w:rPr>
                <w:b/>
              </w:rPr>
              <w:t>KELLER RACKAUCKAS LLP</w:t>
            </w:r>
          </w:p>
          <w:p w:rsidR="00656D7F" w:rsidRDefault="00656D7F" w:rsidP="00656D7F">
            <w:pPr>
              <w:pStyle w:val="FlushLeft"/>
            </w:pPr>
            <w:r>
              <w:t>18300 Von Karman Avenue, Suite 930</w:t>
            </w:r>
          </w:p>
          <w:p w:rsidR="00656D7F" w:rsidRDefault="00656D7F" w:rsidP="00656D7F">
            <w:pPr>
              <w:pStyle w:val="FlushLeft"/>
            </w:pPr>
            <w:r>
              <w:t>Irvine, CA  92612-1057</w:t>
            </w:r>
          </w:p>
          <w:p w:rsidR="00656D7F" w:rsidRDefault="00BD6F59" w:rsidP="00656D7F">
            <w:pPr>
              <w:pStyle w:val="FlushLeft"/>
            </w:pPr>
            <w:r>
              <w:t xml:space="preserve">Telephone:  </w:t>
            </w:r>
            <w:r w:rsidR="00656D7F">
              <w:t>949.476.8700</w:t>
            </w:r>
          </w:p>
          <w:p w:rsidR="00656D7F" w:rsidRDefault="00BD6F59" w:rsidP="00656D7F">
            <w:pPr>
              <w:pStyle w:val="FlushLeft"/>
            </w:pPr>
            <w:r>
              <w:t xml:space="preserve">Facsimile:  </w:t>
            </w:r>
            <w:r w:rsidR="00656D7F">
              <w:t>949.476.0900</w:t>
            </w:r>
          </w:p>
          <w:p w:rsidR="00656D7F" w:rsidRDefault="00656D7F" w:rsidP="00656D7F">
            <w:pPr>
              <w:pStyle w:val="FlushLeft"/>
            </w:pPr>
            <w:r>
              <w:t>E-mail:</w:t>
            </w:r>
            <w:r>
              <w:tab/>
            </w:r>
            <w:r w:rsidR="00BD6F59">
              <w:t xml:space="preserve">  </w:t>
            </w:r>
            <w:r>
              <w:t>jkeller@krlawllp.com</w:t>
            </w:r>
          </w:p>
          <w:p w:rsidR="00656D7F" w:rsidRDefault="00656D7F" w:rsidP="00656D7F">
            <w:pPr>
              <w:pStyle w:val="FirmInformation"/>
              <w:widowControl/>
              <w:spacing w:before="240"/>
            </w:pPr>
            <w:r>
              <w:t xml:space="preserve">Attorneys for Defendant </w:t>
            </w:r>
          </w:p>
          <w:p w:rsidR="00656D7F" w:rsidRDefault="00656D7F" w:rsidP="00656D7F">
            <w:pPr>
              <w:pStyle w:val="FirmInformation"/>
              <w:widowControl/>
            </w:pPr>
            <w:r>
              <w:t>JEFFREY BURUM</w:t>
            </w:r>
          </w:p>
          <w:p w:rsidR="008050A4" w:rsidRDefault="008050A4">
            <w:pPr>
              <w:pStyle w:val="FirmInformation"/>
            </w:pPr>
          </w:p>
        </w:tc>
        <w:tc>
          <w:tcPr>
            <w:tcW w:w="4200" w:type="dxa"/>
          </w:tcPr>
          <w:p w:rsidR="008050A4" w:rsidRDefault="008050A4">
            <w:pPr>
              <w:ind w:left="113" w:right="113"/>
            </w:pPr>
          </w:p>
        </w:tc>
      </w:tr>
    </w:tbl>
    <w:bookmarkEnd w:id="0"/>
    <w:p w:rsidR="008050A4" w:rsidRDefault="000B23AD">
      <w:pPr>
        <w:pStyle w:val="Court"/>
      </w:pPr>
      <w:r>
        <w:t>Superior Court of the State of California</w:t>
      </w:r>
      <w:r>
        <w:br/>
        <w:t>County of San Bernardino</w:t>
      </w:r>
    </w:p>
    <w:tbl>
      <w:tblPr>
        <w:tblW w:w="9672" w:type="dxa"/>
        <w:tblBorders>
          <w:insideH w:val="single" w:sz="4" w:space="0" w:color="auto"/>
        </w:tblBorders>
        <w:tblLayout w:type="fixed"/>
        <w:tblLook w:val="0000" w:firstRow="0" w:lastRow="0" w:firstColumn="0" w:lastColumn="0" w:noHBand="0" w:noVBand="0"/>
      </w:tblPr>
      <w:tblGrid>
        <w:gridCol w:w="4428"/>
        <w:gridCol w:w="5244"/>
      </w:tblGrid>
      <w:tr w:rsidR="008050A4">
        <w:trPr>
          <w:cantSplit/>
        </w:trPr>
        <w:tc>
          <w:tcPr>
            <w:tcW w:w="4428" w:type="dxa"/>
            <w:tcBorders>
              <w:top w:val="nil"/>
              <w:bottom w:val="single" w:sz="4" w:space="0" w:color="auto"/>
              <w:right w:val="single" w:sz="4" w:space="0" w:color="auto"/>
            </w:tcBorders>
          </w:tcPr>
          <w:p w:rsidR="008050A4" w:rsidRDefault="000B23AD">
            <w:pPr>
              <w:rPr>
                <w:bCs/>
              </w:rPr>
            </w:pPr>
            <w:r>
              <w:rPr>
                <w:bCs/>
              </w:rPr>
              <w:t>THE PEOPLE OF THE STATE OF CALIFORNIA</w:t>
            </w:r>
          </w:p>
          <w:p w:rsidR="008050A4" w:rsidRDefault="008050A4">
            <w:pPr>
              <w:rPr>
                <w:bCs/>
              </w:rPr>
            </w:pPr>
          </w:p>
          <w:p w:rsidR="008050A4" w:rsidRDefault="000B23AD">
            <w:pPr>
              <w:rPr>
                <w:bCs/>
              </w:rPr>
            </w:pPr>
            <w:r>
              <w:rPr>
                <w:bCs/>
              </w:rPr>
              <w:tab/>
            </w:r>
            <w:r>
              <w:rPr>
                <w:bCs/>
              </w:rPr>
              <w:tab/>
            </w:r>
            <w:r>
              <w:rPr>
                <w:bCs/>
              </w:rPr>
              <w:tab/>
              <w:t>Plaintiff,</w:t>
            </w:r>
          </w:p>
          <w:p w:rsidR="008050A4" w:rsidRDefault="000B23AD">
            <w:pPr>
              <w:rPr>
                <w:bCs/>
              </w:rPr>
            </w:pPr>
            <w:r>
              <w:rPr>
                <w:bCs/>
              </w:rPr>
              <w:t>v.</w:t>
            </w:r>
          </w:p>
          <w:p w:rsidR="008050A4" w:rsidRDefault="008050A4">
            <w:pPr>
              <w:rPr>
                <w:bCs/>
              </w:rPr>
            </w:pPr>
          </w:p>
          <w:p w:rsidR="008050A4" w:rsidRDefault="000B23AD">
            <w:pPr>
              <w:rPr>
                <w:bCs/>
              </w:rPr>
            </w:pPr>
            <w:r>
              <w:rPr>
                <w:bCs/>
              </w:rPr>
              <w:t>PAUL BIANE, MARK KIRK, JAMES ERWIN, and JEFFREY BURUM,</w:t>
            </w:r>
          </w:p>
          <w:p w:rsidR="008050A4" w:rsidRDefault="008050A4">
            <w:pPr>
              <w:rPr>
                <w:bCs/>
              </w:rPr>
            </w:pPr>
          </w:p>
          <w:p w:rsidR="008050A4" w:rsidRDefault="000B23AD">
            <w:r>
              <w:tab/>
            </w:r>
            <w:r>
              <w:tab/>
            </w:r>
            <w:r>
              <w:tab/>
              <w:t>Defendants.</w:t>
            </w:r>
          </w:p>
        </w:tc>
        <w:tc>
          <w:tcPr>
            <w:tcW w:w="5244" w:type="dxa"/>
            <w:tcBorders>
              <w:top w:val="nil"/>
              <w:left w:val="single" w:sz="4" w:space="0" w:color="auto"/>
            </w:tcBorders>
            <w:shd w:val="clear" w:color="auto" w:fill="auto"/>
          </w:tcPr>
          <w:p w:rsidR="008050A4" w:rsidRDefault="000B23AD">
            <w:pPr>
              <w:pStyle w:val="Caption"/>
              <w:tabs>
                <w:tab w:val="left" w:pos="1238"/>
              </w:tabs>
              <w:spacing w:after="240"/>
              <w:ind w:left="259" w:right="115"/>
            </w:pPr>
            <w:bookmarkStart w:id="2" w:name="_zzmpFIXED_CaptionTable"/>
            <w:r>
              <w:t>CASE NO. FSB 1102102</w:t>
            </w:r>
          </w:p>
          <w:p w:rsidR="008050A4" w:rsidRDefault="000B23AD">
            <w:pPr>
              <w:pStyle w:val="DocumentTitle"/>
            </w:pPr>
            <w:r>
              <w:t xml:space="preserve">DEFENDANT </w:t>
            </w:r>
            <w:r w:rsidR="00871191">
              <w:t xml:space="preserve">JEFFREY BURUM’S </w:t>
            </w:r>
            <w:r w:rsidR="00802E2B">
              <w:t>MOTION TO DISMISS FOR DESTRUCTION OF EXCULPATORY EVIDENCE IN THE ATTORNEY GENERAL’S POSSESSION</w:t>
            </w:r>
          </w:p>
          <w:p w:rsidR="00871191" w:rsidRDefault="00871191" w:rsidP="00871191">
            <w:pPr>
              <w:pStyle w:val="Caption"/>
              <w:widowControl/>
              <w:tabs>
                <w:tab w:val="left" w:pos="1152"/>
              </w:tabs>
              <w:ind w:left="259" w:right="115"/>
            </w:pPr>
            <w:r>
              <w:t>Date:</w:t>
            </w:r>
            <w:r>
              <w:tab/>
            </w:r>
            <w:r w:rsidR="0071566A">
              <w:t>May 27</w:t>
            </w:r>
            <w:r>
              <w:t>, 2016</w:t>
            </w:r>
          </w:p>
          <w:p w:rsidR="00871191" w:rsidRDefault="00C4767C" w:rsidP="00871191">
            <w:pPr>
              <w:pStyle w:val="Caption"/>
              <w:widowControl/>
              <w:tabs>
                <w:tab w:val="left" w:pos="1152"/>
              </w:tabs>
              <w:ind w:left="1314" w:right="115" w:hanging="1055"/>
            </w:pPr>
            <w:r w:rsidRPr="003A6864">
              <w:t>Time:</w:t>
            </w:r>
            <w:r w:rsidRPr="003A6864">
              <w:tab/>
            </w:r>
            <w:r w:rsidR="0071566A">
              <w:t>9:30 a.m.</w:t>
            </w:r>
          </w:p>
          <w:p w:rsidR="008050A4" w:rsidRDefault="000B23AD" w:rsidP="00871191">
            <w:pPr>
              <w:pStyle w:val="Caption"/>
              <w:widowControl/>
              <w:tabs>
                <w:tab w:val="left" w:pos="1152"/>
              </w:tabs>
              <w:ind w:left="1314" w:right="115" w:hanging="1055"/>
            </w:pPr>
            <w:r>
              <w:t>Dept:</w:t>
            </w:r>
            <w:r>
              <w:tab/>
            </w:r>
            <w:r w:rsidR="00656D7F">
              <w:t>S2</w:t>
            </w:r>
            <w:r>
              <w:t>1</w:t>
            </w:r>
          </w:p>
          <w:p w:rsidR="008050A4" w:rsidRDefault="000B23AD" w:rsidP="00871191">
            <w:pPr>
              <w:pStyle w:val="Caption"/>
              <w:widowControl/>
              <w:tabs>
                <w:tab w:val="left" w:pos="1152"/>
              </w:tabs>
              <w:ind w:left="1314" w:right="115" w:hanging="1055"/>
            </w:pPr>
            <w:r>
              <w:t>Judge:</w:t>
            </w:r>
            <w:r>
              <w:tab/>
              <w:t>The Hon. Michael Smith</w:t>
            </w:r>
          </w:p>
        </w:tc>
      </w:tr>
      <w:bookmarkEnd w:id="2"/>
    </w:tbl>
    <w:p w:rsidR="008050A4" w:rsidRDefault="008050A4"/>
    <w:p w:rsidR="008050A4" w:rsidRDefault="008050A4">
      <w:pPr>
        <w:pStyle w:val="BodyText"/>
        <w:sectPr w:rsidR="008050A4">
          <w:headerReference w:type="default" r:id="rId8"/>
          <w:footerReference w:type="default" r:id="rId9"/>
          <w:headerReference w:type="first" r:id="rId10"/>
          <w:footerReference w:type="first" r:id="rId11"/>
          <w:pgSz w:w="12240" w:h="15840"/>
          <w:pgMar w:top="-1325" w:right="720" w:bottom="-1080" w:left="2088" w:header="432" w:footer="360" w:gutter="0"/>
          <w:pgNumType w:start="1"/>
          <w:cols w:space="720"/>
          <w:formProt w:val="0"/>
          <w:titlePg/>
          <w:docGrid w:linePitch="360"/>
        </w:sectPr>
      </w:pPr>
    </w:p>
    <w:p w:rsidR="00F26BBD" w:rsidRDefault="00F26BBD" w:rsidP="00F26BBD">
      <w:pPr>
        <w:pStyle w:val="BodyText"/>
        <w:rPr>
          <w:rFonts w:eastAsia="MS Gothic"/>
        </w:rPr>
      </w:pPr>
      <w:r>
        <w:rPr>
          <w:rFonts w:eastAsia="MS Gothic"/>
        </w:rPr>
        <w:lastRenderedPageBreak/>
        <w:t xml:space="preserve">TO:  ATTORNEY GENERAL KAMALA HARRIS, DISTRICT ATTORNEY MICHAEL A. RAMOS, DEPUTY ATTORNEY GENERAL MELISSA MANDEL, DEPUTY DISTRICT ATTORNEY R. LEWIS COPE, AND ALL OTHER PARTIES AND THEIR ATTORNEYS OF RECORD: </w:t>
      </w:r>
    </w:p>
    <w:p w:rsidR="00F26BBD" w:rsidRDefault="00F26BBD" w:rsidP="00F26BBD">
      <w:pPr>
        <w:pStyle w:val="BodyText"/>
        <w:rPr>
          <w:rFonts w:eastAsia="MS Gothic"/>
        </w:rPr>
      </w:pPr>
      <w:r>
        <w:rPr>
          <w:rFonts w:eastAsia="MS Gothic"/>
        </w:rPr>
        <w:t xml:space="preserve">PLEASE TAKE NOTICE that on May 27, 2016, at 9:30 a.m., in Department S21 of the San Bernardino Central Courthouse, located at 247 West Third Street, San Bernardino, California 92415, defendant JEFFREY BURUM will and hereby does move for the Court to dismiss the Indictment pursuant to the due process clause of the Fifth Amendment, </w:t>
      </w:r>
      <w:r>
        <w:rPr>
          <w:rFonts w:eastAsia="MS Gothic"/>
          <w:i/>
        </w:rPr>
        <w:t>California v. Trombetta</w:t>
      </w:r>
      <w:r>
        <w:rPr>
          <w:rFonts w:eastAsia="MS Gothic"/>
        </w:rPr>
        <w:t xml:space="preserve"> (1984) 467 U.S. 479, and </w:t>
      </w:r>
      <w:r>
        <w:rPr>
          <w:rFonts w:eastAsia="MS Gothic"/>
          <w:i/>
        </w:rPr>
        <w:t>Arizona v. Youngblood</w:t>
      </w:r>
      <w:r>
        <w:rPr>
          <w:rFonts w:eastAsia="MS Gothic"/>
        </w:rPr>
        <w:t xml:space="preserve"> (1988) 488 U.S. 51.</w:t>
      </w:r>
    </w:p>
    <w:p w:rsidR="00F26BBD" w:rsidRDefault="00F26BBD" w:rsidP="00F26BBD">
      <w:pPr>
        <w:pStyle w:val="BodyText"/>
        <w:rPr>
          <w:rFonts w:eastAsia="MS Gothic"/>
        </w:rPr>
      </w:pPr>
      <w:r>
        <w:rPr>
          <w:rFonts w:eastAsia="MS Gothic"/>
        </w:rPr>
        <w:t>This Motion is brought on the grounds that the People have lost or destroyed exculpatory evidence, or in bad-faith lost or destroyed potential useful evidence.  This Motion is based on this Notice, the attached Memorandum, the concurrently-filed Declaration of Kathryane Foster, and such argument and other authorities as may be presented at or before the hearing on this matter.</w:t>
      </w:r>
    </w:p>
    <w:p w:rsidR="00F26BBD" w:rsidRPr="00F26BBD" w:rsidRDefault="00F26BBD" w:rsidP="00F26BBD">
      <w:pPr>
        <w:pStyle w:val="BodyText"/>
        <w:rPr>
          <w:rFonts w:eastAsia="MS Gothic"/>
        </w:rPr>
      </w:pPr>
    </w:p>
    <w:tbl>
      <w:tblPr>
        <w:tblW w:w="9576" w:type="dxa"/>
        <w:tblInd w:w="-90" w:type="dxa"/>
        <w:tblLayout w:type="fixed"/>
        <w:tblLook w:val="0000" w:firstRow="0" w:lastRow="0" w:firstColumn="0" w:lastColumn="0" w:noHBand="0" w:noVBand="0"/>
      </w:tblPr>
      <w:tblGrid>
        <w:gridCol w:w="4158"/>
        <w:gridCol w:w="5418"/>
      </w:tblGrid>
      <w:tr w:rsidR="00F26BBD" w:rsidRPr="00650FB5" w:rsidTr="00F91A59">
        <w:trPr>
          <w:cantSplit/>
        </w:trPr>
        <w:tc>
          <w:tcPr>
            <w:tcW w:w="4158" w:type="dxa"/>
          </w:tcPr>
          <w:p w:rsidR="00F26BBD" w:rsidRDefault="00F26BBD" w:rsidP="00F91A59">
            <w:pPr>
              <w:pStyle w:val="BodyText"/>
              <w:ind w:firstLine="0"/>
            </w:pPr>
            <w:r>
              <w:t>Dated:</w:t>
            </w:r>
            <w:r>
              <w:tab/>
              <w:t>May 12, 2016</w:t>
            </w:r>
          </w:p>
          <w:p w:rsidR="00F26BBD" w:rsidRDefault="00F26BBD" w:rsidP="00F91A59">
            <w:pPr>
              <w:pStyle w:val="PleadingSignature"/>
            </w:pPr>
          </w:p>
        </w:tc>
        <w:tc>
          <w:tcPr>
            <w:tcW w:w="5418" w:type="dxa"/>
          </w:tcPr>
          <w:p w:rsidR="00F26BBD" w:rsidRDefault="00F26BBD" w:rsidP="00F91A59">
            <w:pPr>
              <w:pStyle w:val="PleadingSignature"/>
              <w:spacing w:line="480" w:lineRule="exact"/>
              <w:ind w:left="162"/>
            </w:pPr>
            <w:r>
              <w:t>LARSON O’BRIEN LLP</w:t>
            </w:r>
          </w:p>
          <w:p w:rsidR="00F26BBD" w:rsidRDefault="00F26BBD" w:rsidP="00F91A59">
            <w:pPr>
              <w:pStyle w:val="PleadingSignature"/>
              <w:ind w:left="162" w:right="115"/>
            </w:pPr>
            <w:r>
              <w:t>KELLER RACKAUCKAS LLP</w:t>
            </w:r>
          </w:p>
          <w:p w:rsidR="00F26BBD" w:rsidRDefault="00F26BBD" w:rsidP="00F91A59">
            <w:pPr>
              <w:pStyle w:val="PleadingSignature"/>
              <w:spacing w:before="600"/>
              <w:ind w:left="158" w:right="115"/>
            </w:pPr>
            <w:r>
              <w:t>By:</w:t>
            </w:r>
          </w:p>
          <w:p w:rsidR="00F26BBD" w:rsidRDefault="00F26BBD" w:rsidP="00F91A59">
            <w:pPr>
              <w:pStyle w:val="PleadingSignature"/>
              <w:pBdr>
                <w:top w:val="single" w:sz="4" w:space="1" w:color="auto"/>
              </w:pBdr>
              <w:ind w:left="360"/>
            </w:pPr>
            <w:r>
              <w:t>Stephen G. Larson</w:t>
            </w:r>
          </w:p>
          <w:p w:rsidR="00F26BBD" w:rsidRDefault="00F26BBD" w:rsidP="00F91A59">
            <w:pPr>
              <w:pStyle w:val="PleadingSignature"/>
              <w:pBdr>
                <w:top w:val="single" w:sz="4" w:space="1" w:color="auto"/>
              </w:pBdr>
              <w:ind w:left="360"/>
            </w:pPr>
            <w:r>
              <w:t>Jonathan E. Phillips</w:t>
            </w:r>
            <w:r>
              <w:rPr>
                <w:caps/>
              </w:rPr>
              <w:t xml:space="preserve"> </w:t>
            </w:r>
          </w:p>
          <w:p w:rsidR="00F26BBD" w:rsidRDefault="00F26BBD" w:rsidP="00F91A59">
            <w:pPr>
              <w:pStyle w:val="PleadingSignature"/>
              <w:ind w:left="342"/>
            </w:pPr>
            <w:r>
              <w:t>Jennifer L. Keller</w:t>
            </w:r>
          </w:p>
          <w:p w:rsidR="00F26BBD" w:rsidRPr="00650FB5" w:rsidRDefault="00F26BBD" w:rsidP="00F91A59">
            <w:pPr>
              <w:pStyle w:val="PleadingSignature"/>
              <w:ind w:left="360"/>
              <w:rPr>
                <w:caps/>
              </w:rPr>
            </w:pPr>
            <w:r>
              <w:t xml:space="preserve">Attorneys for Defendant </w:t>
            </w:r>
            <w:r>
              <w:br/>
              <w:t>JEFFREY BURUM</w:t>
            </w:r>
          </w:p>
        </w:tc>
      </w:tr>
    </w:tbl>
    <w:p w:rsidR="00F26BBD" w:rsidRDefault="00F26BBD">
      <w:pPr>
        <w:widowControl/>
        <w:spacing w:line="240" w:lineRule="auto"/>
        <w:rPr>
          <w:b/>
          <w:u w:val="single"/>
        </w:rPr>
      </w:pPr>
    </w:p>
    <w:p w:rsidR="00F26BBD" w:rsidRDefault="00F26BBD">
      <w:pPr>
        <w:widowControl/>
        <w:spacing w:line="240" w:lineRule="auto"/>
        <w:rPr>
          <w:b/>
          <w:u w:val="single"/>
        </w:rPr>
      </w:pPr>
      <w:r>
        <w:rPr>
          <w:b/>
          <w:u w:val="single"/>
        </w:rPr>
        <w:br w:type="page"/>
      </w:r>
    </w:p>
    <w:p w:rsidR="00871191" w:rsidRDefault="00C4767C" w:rsidP="00871191">
      <w:pPr>
        <w:spacing w:line="480" w:lineRule="exact"/>
        <w:jc w:val="center"/>
        <w:rPr>
          <w:b/>
          <w:u w:val="single"/>
        </w:rPr>
      </w:pPr>
      <w:r>
        <w:rPr>
          <w:b/>
          <w:u w:val="single"/>
        </w:rPr>
        <w:lastRenderedPageBreak/>
        <w:t>MEMORANDUM</w:t>
      </w:r>
    </w:p>
    <w:p w:rsidR="00CB686C" w:rsidRDefault="00CB686C" w:rsidP="00CB686C">
      <w:pPr>
        <w:pStyle w:val="Pleading1L1"/>
        <w:spacing w:before="0" w:line="480" w:lineRule="exact"/>
      </w:pPr>
      <w:bookmarkStart w:id="3" w:name="_Toc428511053"/>
      <w:r>
        <w:t>INTRODUCTION</w:t>
      </w:r>
      <w:bookmarkEnd w:id="3"/>
    </w:p>
    <w:p w:rsidR="000D1BF9" w:rsidRDefault="004238AD" w:rsidP="004238AD">
      <w:pPr>
        <w:pStyle w:val="BodyText1"/>
      </w:pPr>
      <w:r>
        <w:t>On</w:t>
      </w:r>
      <w:r w:rsidR="00A02307">
        <w:t>ce</w:t>
      </w:r>
      <w:r>
        <w:t xml:space="preserve"> more the People </w:t>
      </w:r>
      <w:r w:rsidR="00F65A25">
        <w:t xml:space="preserve">have forced </w:t>
      </w:r>
      <w:r w:rsidR="00A02307">
        <w:t xml:space="preserve">Defendant Jeffrey </w:t>
      </w:r>
      <w:r w:rsidR="00F65A25">
        <w:t xml:space="preserve">Burum </w:t>
      </w:r>
      <w:r>
        <w:t xml:space="preserve">to move for relief based on their mishandling of the criminal investigation into the Colonies settlement.  This time, </w:t>
      </w:r>
      <w:r w:rsidR="00F65A25">
        <w:t>they</w:t>
      </w:r>
      <w:r>
        <w:t xml:space="preserve"> have admitted that </w:t>
      </w:r>
      <w:r w:rsidR="007425B9">
        <w:t xml:space="preserve">the Attorney General’s Office failed to preserve emails that should have been produced to the Defendants because they </w:t>
      </w:r>
      <w:r w:rsidR="00A02307">
        <w:t>contained</w:t>
      </w:r>
      <w:r w:rsidR="007425B9">
        <w:t xml:space="preserve"> exculpatory </w:t>
      </w:r>
      <w:r w:rsidR="0053109F">
        <w:t>evidence</w:t>
      </w:r>
      <w:r w:rsidR="007425B9">
        <w:t xml:space="preserve">.  </w:t>
      </w:r>
      <w:r w:rsidR="00A02307">
        <w:t>Specifically, the destroyed emails would have revealed the Attorney General’s communications with County Counsel</w:t>
      </w:r>
      <w:r w:rsidR="00BD52E5">
        <w:t>—and possibly other third-parties—</w:t>
      </w:r>
      <w:r w:rsidR="007425B9">
        <w:t xml:space="preserve">regarding the County’s change of heart on the Colonies settlement.  </w:t>
      </w:r>
      <w:r w:rsidR="00A02307">
        <w:t>As the Court has already recognized, the County and its attorneys’ reevaluation of the settlement</w:t>
      </w:r>
      <w:r w:rsidR="000D1BF9">
        <w:t>,</w:t>
      </w:r>
      <w:r w:rsidR="00A02307">
        <w:t xml:space="preserve"> and</w:t>
      </w:r>
      <w:r w:rsidR="000D1BF9">
        <w:t xml:space="preserve"> their</w:t>
      </w:r>
      <w:r w:rsidR="00A02307">
        <w:t xml:space="preserve"> recognition that it was </w:t>
      </w:r>
      <w:r w:rsidR="0071566A">
        <w:t>eminently reasonable</w:t>
      </w:r>
      <w:r w:rsidR="00387A58">
        <w:t xml:space="preserve"> </w:t>
      </w:r>
      <w:r w:rsidR="00A02307">
        <w:t>and fully justified, is exculpatory evidence</w:t>
      </w:r>
      <w:r w:rsidR="000D1BF9">
        <w:t xml:space="preserve">.  As such, the Attorney General’s correspondence with County Counsel </w:t>
      </w:r>
      <w:r w:rsidR="00BD52E5">
        <w:t xml:space="preserve">or other third-parties </w:t>
      </w:r>
      <w:r w:rsidR="000D1BF9">
        <w:t xml:space="preserve">on this subject </w:t>
      </w:r>
      <w:r w:rsidR="00A02307">
        <w:t xml:space="preserve">should have been provided to the defense.  </w:t>
      </w:r>
      <w:r w:rsidR="000D1BF9">
        <w:t>It was not—and now it never can be.</w:t>
      </w:r>
    </w:p>
    <w:p w:rsidR="001C2387" w:rsidRPr="00EF0BA1" w:rsidRDefault="001C2387" w:rsidP="003363EE">
      <w:pPr>
        <w:pStyle w:val="BodyText"/>
        <w:widowControl/>
      </w:pPr>
      <w:r>
        <w:t xml:space="preserve">This is a straightforward case of the People </w:t>
      </w:r>
      <w:r w:rsidR="00F65A25">
        <w:t>destroying</w:t>
      </w:r>
      <w:r>
        <w:t xml:space="preserve"> exculpatory evidence that should have been preserved.  There is no question of custody and control, and no question that the documents were destroyed.  The </w:t>
      </w:r>
      <w:r w:rsidR="000D1BF9">
        <w:t>t</w:t>
      </w:r>
      <w:r>
        <w:t>ime for further excus</w:t>
      </w:r>
      <w:r w:rsidR="00F65A25">
        <w:t xml:space="preserve">ing </w:t>
      </w:r>
      <w:r w:rsidR="000D1BF9">
        <w:t>the People’s mishandling and manipulation of exculpatory evidence in thi</w:t>
      </w:r>
      <w:r>
        <w:t xml:space="preserve">s has come and gone.  The Indictment should be dismissed.  </w:t>
      </w:r>
    </w:p>
    <w:p w:rsidR="00A952C8" w:rsidRPr="00A952C8" w:rsidRDefault="00A952C8" w:rsidP="00A952C8">
      <w:pPr>
        <w:pStyle w:val="Pleading1L1"/>
      </w:pPr>
      <w:r>
        <w:t>FACTUAL BACKGROUND</w:t>
      </w:r>
    </w:p>
    <w:p w:rsidR="00A952C8" w:rsidRDefault="00A952C8" w:rsidP="00A952C8">
      <w:pPr>
        <w:spacing w:line="480" w:lineRule="exact"/>
        <w:ind w:firstLine="720"/>
      </w:pPr>
      <w:r>
        <w:t xml:space="preserve">On August 28, 2015, Mr. Burum filed a motion for reconsideration of </w:t>
      </w:r>
      <w:r w:rsidR="0071566A">
        <w:t>the Court’s</w:t>
      </w:r>
      <w:r>
        <w:t xml:space="preserve"> denial of Mr. Burum’s motion to dismiss pursuant to California Penal Code section 939.71.  One of the grounds for reconsid</w:t>
      </w:r>
      <w:r w:rsidR="00802E2B">
        <w:t xml:space="preserve">eration was </w:t>
      </w:r>
      <w:r w:rsidR="000D1BF9">
        <w:t xml:space="preserve">newly-discovered </w:t>
      </w:r>
      <w:r w:rsidR="00802E2B">
        <w:t>evidence</w:t>
      </w:r>
      <w:r w:rsidR="000D1BF9">
        <w:t xml:space="preserve"> demonstrating </w:t>
      </w:r>
      <w:r>
        <w:t>the People</w:t>
      </w:r>
      <w:r w:rsidR="000D1BF9">
        <w:t>’s</w:t>
      </w:r>
      <w:r>
        <w:t xml:space="preserve"> </w:t>
      </w:r>
      <w:r w:rsidR="00802E2B">
        <w:t>kn</w:t>
      </w:r>
      <w:r w:rsidR="000D1BF9">
        <w:t>owledge</w:t>
      </w:r>
      <w:r w:rsidR="00802E2B">
        <w:t xml:space="preserve"> </w:t>
      </w:r>
      <w:r w:rsidR="000D1BF9">
        <w:t xml:space="preserve">at the time of the grand jury proceedings that </w:t>
      </w:r>
      <w:r>
        <w:t xml:space="preserve">the County </w:t>
      </w:r>
      <w:r w:rsidR="000D1BF9">
        <w:t>believed t</w:t>
      </w:r>
      <w:r w:rsidR="00802E2B">
        <w:t xml:space="preserve">he Colonies settlement </w:t>
      </w:r>
      <w:r w:rsidR="0053109F">
        <w:t>to be reasonable</w:t>
      </w:r>
      <w:r w:rsidR="000D1BF9">
        <w:t xml:space="preserve">—which, of course, </w:t>
      </w:r>
      <w:r w:rsidR="0053109F">
        <w:t>directly c</w:t>
      </w:r>
      <w:r w:rsidR="000D1BF9">
        <w:t xml:space="preserve">ontradicted </w:t>
      </w:r>
      <w:r w:rsidR="0053109F">
        <w:t>the People’s theory that the settlement was unreasonable and evidence of criminal intent</w:t>
      </w:r>
      <w:r>
        <w:t xml:space="preserve">.  The crux of Mr. Burum’s </w:t>
      </w:r>
      <w:r w:rsidR="000D1BF9">
        <w:t xml:space="preserve">reconsideration </w:t>
      </w:r>
      <w:r>
        <w:t xml:space="preserve">motion was </w:t>
      </w:r>
      <w:r w:rsidR="0053109F">
        <w:t xml:space="preserve">new </w:t>
      </w:r>
      <w:r>
        <w:t xml:space="preserve">evidence that the District Attorney’s office had interviewed Ruth Stringer and Mitchell Norton—members of </w:t>
      </w:r>
      <w:r w:rsidR="000D1BF9">
        <w:t xml:space="preserve">the </w:t>
      </w:r>
      <w:r>
        <w:t>San Bernardino County Counsel</w:t>
      </w:r>
      <w:r w:rsidR="000D1BF9">
        <w:t>’s</w:t>
      </w:r>
      <w:r>
        <w:t xml:space="preserve"> office—</w:t>
      </w:r>
      <w:r w:rsidR="000D1BF9">
        <w:t>about</w:t>
      </w:r>
      <w:r>
        <w:t xml:space="preserve"> the County’s change of heart prior to convening the Grand Jury in 2011.  In response to Mr. Burum’s motion, the People denied </w:t>
      </w:r>
      <w:r w:rsidR="00C765E1">
        <w:t xml:space="preserve">having pre-grand jury knowledge of the County’s position, </w:t>
      </w:r>
      <w:r w:rsidR="00802E2B">
        <w:t>just as they had in opposing Mr. Burum’s first motion</w:t>
      </w:r>
      <w:r w:rsidR="00C765E1">
        <w:t xml:space="preserve">, </w:t>
      </w:r>
      <w:r w:rsidR="00802E2B">
        <w:t>going so far as to profess</w:t>
      </w:r>
      <w:r>
        <w:t xml:space="preserve"> that </w:t>
      </w:r>
      <w:r>
        <w:lastRenderedPageBreak/>
        <w:t>the motion was “patently absurd” for charging that “prosecutors were aware of this information.”  (</w:t>
      </w:r>
      <w:r w:rsidR="004C7D3A">
        <w:t>Declaration of Kathryane Foster (“Foster Decl.”)</w:t>
      </w:r>
      <w:r>
        <w:t>, Ex. 1</w:t>
      </w:r>
      <w:r w:rsidR="004C7D3A">
        <w:t xml:space="preserve"> [relevant pages of People’s Opp]</w:t>
      </w:r>
      <w:r>
        <w:t>.)</w:t>
      </w:r>
    </w:p>
    <w:p w:rsidR="00A952C8" w:rsidRDefault="0071566A" w:rsidP="00A952C8">
      <w:pPr>
        <w:spacing w:line="480" w:lineRule="exact"/>
        <w:ind w:firstLine="720"/>
      </w:pPr>
      <w:r>
        <w:t xml:space="preserve">Faced with the People’s stonewalling, </w:t>
      </w:r>
      <w:r w:rsidR="00A952C8">
        <w:t>Mr. Burum served document subpoenas on the County of San Bernardino and others seeking documents and other evidence regarding the District Attorney’s meetings with County</w:t>
      </w:r>
      <w:r w:rsidR="00011800">
        <w:t xml:space="preserve"> C</w:t>
      </w:r>
      <w:r w:rsidR="00A952C8">
        <w:t xml:space="preserve">ounsel and other relevant witnesses.  In response, the County produced documents revealing that </w:t>
      </w:r>
      <w:r w:rsidR="0053109F">
        <w:t xml:space="preserve">despite their denials, </w:t>
      </w:r>
      <w:r w:rsidR="00A952C8">
        <w:t xml:space="preserve">prosecutors were well-aware of the County’s position on the settlement before the 2011 </w:t>
      </w:r>
      <w:r w:rsidR="00525786">
        <w:t>g</w:t>
      </w:r>
      <w:r w:rsidR="00A952C8">
        <w:t xml:space="preserve">rand </w:t>
      </w:r>
      <w:r w:rsidR="00525786">
        <w:t>j</w:t>
      </w:r>
      <w:r w:rsidR="00A952C8">
        <w:t xml:space="preserve">ury proceedings.  And on November 6, 2015, </w:t>
      </w:r>
      <w:r>
        <w:t>Deputy</w:t>
      </w:r>
      <w:r w:rsidR="00802E2B">
        <w:t xml:space="preserve"> </w:t>
      </w:r>
      <w:r w:rsidR="00A952C8">
        <w:t xml:space="preserve">District Attorney Lewis Cope </w:t>
      </w:r>
      <w:r w:rsidR="00525786">
        <w:t>and Deputy Attorney General Melissa Mandel were</w:t>
      </w:r>
      <w:r w:rsidR="0053109F">
        <w:t xml:space="preserve"> forced to recant and admit</w:t>
      </w:r>
      <w:r w:rsidR="00011800">
        <w:t xml:space="preserve"> </w:t>
      </w:r>
      <w:r w:rsidR="00525786">
        <w:t xml:space="preserve">this </w:t>
      </w:r>
      <w:r w:rsidR="00011800">
        <w:t xml:space="preserve">to </w:t>
      </w:r>
      <w:r w:rsidR="00525786">
        <w:t>the</w:t>
      </w:r>
      <w:r w:rsidR="00011800">
        <w:t xml:space="preserve"> Court</w:t>
      </w:r>
      <w:r w:rsidR="00525786">
        <w:t>, and to also admit</w:t>
      </w:r>
      <w:r w:rsidR="00A952C8">
        <w:t xml:space="preserve"> that the prosecution had failed </w:t>
      </w:r>
      <w:r w:rsidR="00011800">
        <w:t xml:space="preserve">to disclose </w:t>
      </w:r>
      <w:r w:rsidR="00A952C8">
        <w:t xml:space="preserve">interviews with key witnesses, including Mr. Norton. </w:t>
      </w:r>
      <w:r w:rsidR="00802E2B">
        <w:t>(</w:t>
      </w:r>
      <w:r w:rsidR="00525786">
        <w:t>Foster Decl., Ex. 2 [11/6/15 transcript pages 1-8]</w:t>
      </w:r>
      <w:r w:rsidR="00802E2B">
        <w:t xml:space="preserve">.)  </w:t>
      </w:r>
    </w:p>
    <w:p w:rsidR="00A952C8" w:rsidRDefault="0071566A" w:rsidP="00B902AB">
      <w:pPr>
        <w:widowControl/>
        <w:spacing w:line="480" w:lineRule="exact"/>
        <w:ind w:firstLine="720"/>
      </w:pPr>
      <w:r>
        <w:t>Following this admission, t</w:t>
      </w:r>
      <w:r w:rsidR="0053109F">
        <w:t>he Court ordered the People</w:t>
      </w:r>
      <w:r w:rsidR="00A952C8">
        <w:t xml:space="preserve"> to produce all recorded </w:t>
      </w:r>
      <w:r w:rsidR="00A16237">
        <w:t>witness</w:t>
      </w:r>
      <w:r w:rsidR="00A952C8">
        <w:t xml:space="preserve"> interviews and “all notes of any meetings between any representatives of the People and either County Counsel or Board members or other County officials involved in either the civil or criminal Colonies litigations under seal.”  (</w:t>
      </w:r>
      <w:r w:rsidR="00525786">
        <w:t>Foster Decl., Ex. 3 [11/6/15 minute order].</w:t>
      </w:r>
      <w:r w:rsidR="00A952C8">
        <w:t>)</w:t>
      </w:r>
      <w:r w:rsidR="00A16237">
        <w:t xml:space="preserve">  </w:t>
      </w:r>
      <w:r w:rsidR="00F65A25">
        <w:t>As a result, t</w:t>
      </w:r>
      <w:r w:rsidR="00A952C8">
        <w:t>he People produc</w:t>
      </w:r>
      <w:r w:rsidR="00802E2B">
        <w:t>ed some documents, including</w:t>
      </w:r>
      <w:r w:rsidR="00A952C8">
        <w:t xml:space="preserve"> transcripts of </w:t>
      </w:r>
      <w:r w:rsidR="00802E2B">
        <w:t>investigation</w:t>
      </w:r>
      <w:r w:rsidR="00A952C8">
        <w:t xml:space="preserve"> interviews with Mr. Norton and Ms. Springer.</w:t>
      </w:r>
      <w:r w:rsidR="00A952C8">
        <w:rPr>
          <w:rStyle w:val="FootnoteReference"/>
        </w:rPr>
        <w:footnoteReference w:id="1"/>
      </w:r>
      <w:r>
        <w:t xml:space="preserve">  </w:t>
      </w:r>
      <w:r w:rsidR="00A16237">
        <w:t>T</w:t>
      </w:r>
      <w:r w:rsidR="00A952C8">
        <w:t xml:space="preserve">he People </w:t>
      </w:r>
      <w:r w:rsidR="00A16237">
        <w:t xml:space="preserve">also </w:t>
      </w:r>
      <w:r w:rsidR="00A952C8">
        <w:t>filed what they called a “Notice of Compliance</w:t>
      </w:r>
      <w:r w:rsidR="00A16237">
        <w:t xml:space="preserve"> With Discovery Order</w:t>
      </w:r>
      <w:r w:rsidR="00A952C8">
        <w:t>,” asking the Court to “[f]ind that the People have complied with the November 6, 2015 discovery order</w:t>
      </w:r>
      <w:r w:rsidR="00C267DA">
        <w:t>.</w:t>
      </w:r>
      <w:r w:rsidR="00A952C8">
        <w:t xml:space="preserve">  </w:t>
      </w:r>
      <w:r w:rsidR="00387A58">
        <w:t>(</w:t>
      </w:r>
      <w:r w:rsidR="00DF6D24">
        <w:t>Notice of People’s Compliance With Discovery Order, etc., filed Nov. 30, 2015, at p. 7.</w:t>
      </w:r>
      <w:r w:rsidR="00387A58">
        <w:t xml:space="preserve">)  </w:t>
      </w:r>
      <w:r w:rsidR="00A952C8">
        <w:t xml:space="preserve">Strangely, for a motion purporting to set forth the People’s compliance with the Court’s discovery orders, it was accompanied by </w:t>
      </w:r>
      <w:r w:rsidR="00802E2B">
        <w:t>Mr.</w:t>
      </w:r>
      <w:r w:rsidR="00A952C8">
        <w:t xml:space="preserve"> Cope</w:t>
      </w:r>
      <w:r w:rsidR="00387A58">
        <w:t>’s declaration</w:t>
      </w:r>
      <w:r>
        <w:t xml:space="preserve"> explaining that </w:t>
      </w:r>
      <w:r w:rsidR="00C267DA">
        <w:t xml:space="preserve">any </w:t>
      </w:r>
      <w:r>
        <w:t>e</w:t>
      </w:r>
      <w:r w:rsidR="00A952C8">
        <w:t>mails</w:t>
      </w:r>
      <w:r w:rsidR="00A64386">
        <w:t xml:space="preserve"> </w:t>
      </w:r>
      <w:r w:rsidR="00A952C8">
        <w:t xml:space="preserve">responsive to the Court’s order </w:t>
      </w:r>
      <w:r w:rsidR="00A64386">
        <w:t xml:space="preserve">and once in the custody of the Attorney General’s Office </w:t>
      </w:r>
      <w:r w:rsidR="00A952C8">
        <w:t>had been destroyed.  (</w:t>
      </w:r>
      <w:r w:rsidR="00DF6D24">
        <w:t xml:space="preserve">Foster Decl., Ex. </w:t>
      </w:r>
      <w:r w:rsidR="00C267DA">
        <w:t>4</w:t>
      </w:r>
      <w:r w:rsidR="00A952C8">
        <w:t xml:space="preserve">, </w:t>
      </w:r>
      <w:r w:rsidR="00A64386">
        <w:t xml:space="preserve">¶ </w:t>
      </w:r>
      <w:r w:rsidR="00A952C8">
        <w:t>11 [“I am informed and believe that the Attorney General did not preserve emails from the time peri</w:t>
      </w:r>
      <w:r>
        <w:t>od covered in the Court’s order</w:t>
      </w:r>
      <w:r w:rsidR="00A952C8">
        <w:t xml:space="preserve">”].)  </w:t>
      </w:r>
    </w:p>
    <w:p w:rsidR="00A952C8" w:rsidRDefault="00A952C8" w:rsidP="00A64386">
      <w:pPr>
        <w:widowControl/>
        <w:spacing w:line="480" w:lineRule="exact"/>
        <w:ind w:firstLine="720"/>
      </w:pPr>
      <w:r>
        <w:t xml:space="preserve">Immediately after receiving the People’s production, the defense requested additional information regarding the Attorney General’s document retention policies and practice.  </w:t>
      </w:r>
      <w:r w:rsidR="00E82526">
        <w:t xml:space="preserve">(Foster Decl., Ex. </w:t>
      </w:r>
      <w:r w:rsidR="00C267DA">
        <w:t>5</w:t>
      </w:r>
      <w:r w:rsidR="00E82526">
        <w:t xml:space="preserve"> [12/4/15 letter to Cope].)  The District Attorney’s Office</w:t>
      </w:r>
      <w:r>
        <w:t xml:space="preserve"> responded, but not with </w:t>
      </w:r>
      <w:r>
        <w:lastRenderedPageBreak/>
        <w:t xml:space="preserve">the requested information.  Instead, </w:t>
      </w:r>
      <w:r w:rsidR="00087B87">
        <w:t>it</w:t>
      </w:r>
      <w:r w:rsidR="00C267DA">
        <w:t xml:space="preserve"> tried to excuse the destruction of emails by</w:t>
      </w:r>
      <w:r>
        <w:t xml:space="preserve"> </w:t>
      </w:r>
      <w:r w:rsidR="00A64386">
        <w:t>assert</w:t>
      </w:r>
      <w:r w:rsidR="00C267DA">
        <w:t>ing</w:t>
      </w:r>
      <w:r>
        <w:t xml:space="preserve"> that </w:t>
      </w:r>
      <w:r w:rsidR="00C267DA">
        <w:t>the People were never obligated to produce</w:t>
      </w:r>
      <w:r>
        <w:t xml:space="preserve"> “any of the information you seek</w:t>
      </w:r>
      <w:r w:rsidR="00C267DA">
        <w:t xml:space="preserve"> with respect to the Attorney General’s office</w:t>
      </w:r>
      <w:r>
        <w:t xml:space="preserve">.”  </w:t>
      </w:r>
      <w:r w:rsidR="00A64386">
        <w:t>(</w:t>
      </w:r>
      <w:r w:rsidR="00C267DA">
        <w:t>Foster Decl., Ex. 6 [12/10/15 letter from Sadeghi]</w:t>
      </w:r>
      <w:r w:rsidR="00A64386">
        <w:t xml:space="preserve">.)  </w:t>
      </w:r>
      <w:r w:rsidR="00F85421">
        <w:t xml:space="preserve">But this new claim was belied by the documents produced by the County, which </w:t>
      </w:r>
      <w:r w:rsidR="00F65A25">
        <w:t>demonstrated</w:t>
      </w:r>
      <w:r>
        <w:t xml:space="preserve"> that </w:t>
      </w:r>
      <w:r w:rsidR="00F85421">
        <w:t xml:space="preserve">at least </w:t>
      </w:r>
      <w:r>
        <w:t xml:space="preserve">former Deputy Attorney General </w:t>
      </w:r>
      <w:r w:rsidR="00A64386">
        <w:t>Gary Schons</w:t>
      </w:r>
      <w:r>
        <w:t xml:space="preserve"> possessed </w:t>
      </w:r>
      <w:r w:rsidR="00C267DA">
        <w:t>exculpatory emails</w:t>
      </w:r>
      <w:r>
        <w:t xml:space="preserve"> regarding Mr. Norton and Ms. Stringer’s communications with the People.  (</w:t>
      </w:r>
      <w:r w:rsidR="00C267DA">
        <w:t>Foster Decl., Ex. 7 [sample email from production].</w:t>
      </w:r>
      <w:r>
        <w:t>)</w:t>
      </w:r>
    </w:p>
    <w:p w:rsidR="00BD52E5" w:rsidRDefault="00BD52E5" w:rsidP="00A64386">
      <w:pPr>
        <w:widowControl/>
        <w:spacing w:line="480" w:lineRule="exact"/>
        <w:ind w:firstLine="720"/>
      </w:pPr>
      <w:r>
        <w:t xml:space="preserve">Because the People refused to provide the requested information regarding the Attorney General’s document retention policies, Mr. Burum sought that information through a California Public Records Request.  (Foster Decl., Ex. 8.)  In response, the Attorney General’s Office indicated that it has a 90-day policy for retaining emails until they are automatically destroyed, unless such emails are archived by the individual sender or recipient.  (Foster Decl., Ex. 9.)  </w:t>
      </w:r>
    </w:p>
    <w:p w:rsidR="00A952C8" w:rsidRDefault="00A952C8" w:rsidP="00A952C8">
      <w:pPr>
        <w:spacing w:line="480" w:lineRule="exact"/>
        <w:ind w:firstLine="720"/>
      </w:pPr>
      <w:r>
        <w:t>During the Court’</w:t>
      </w:r>
      <w:r w:rsidR="00A64386">
        <w:t>s March 16, 2016</w:t>
      </w:r>
      <w:r>
        <w:t xml:space="preserve"> hearing</w:t>
      </w:r>
      <w:r w:rsidR="00A64386">
        <w:t xml:space="preserve"> on various matters</w:t>
      </w:r>
      <w:r>
        <w:t>, the Attorney General’</w:t>
      </w:r>
      <w:r w:rsidR="00011800">
        <w:t>s missing emails were discussed i</w:t>
      </w:r>
      <w:r>
        <w:t xml:space="preserve">n the context of the People’s </w:t>
      </w:r>
      <w:r w:rsidR="00A64386">
        <w:t>motion seeking the Court’s benediction</w:t>
      </w:r>
      <w:r>
        <w:t xml:space="preserve"> </w:t>
      </w:r>
      <w:r w:rsidR="00387A58">
        <w:t>upon</w:t>
      </w:r>
      <w:r>
        <w:t xml:space="preserve"> their </w:t>
      </w:r>
      <w:r w:rsidR="00387A58">
        <w:t>discovery efforts</w:t>
      </w:r>
      <w:r w:rsidR="00011800">
        <w:t xml:space="preserve">.  </w:t>
      </w:r>
      <w:r w:rsidR="00BD52E5">
        <w:t>T</w:t>
      </w:r>
      <w:r w:rsidR="00011800">
        <w:t>he Court noted that this issue</w:t>
      </w:r>
      <w:r>
        <w:t xml:space="preserve"> </w:t>
      </w:r>
      <w:r w:rsidR="00A64386">
        <w:t xml:space="preserve">had not been raised </w:t>
      </w:r>
      <w:r>
        <w:t xml:space="preserve">in the context of the then-pending </w:t>
      </w:r>
      <w:r w:rsidRPr="000A2287">
        <w:rPr>
          <w:i/>
        </w:rPr>
        <w:t>Trombetta</w:t>
      </w:r>
      <w:r>
        <w:t xml:space="preserve"> motion</w:t>
      </w:r>
      <w:r w:rsidR="00A64386">
        <w:t xml:space="preserve"> or any other pending motion</w:t>
      </w:r>
      <w:r>
        <w:t>.  (</w:t>
      </w:r>
      <w:r w:rsidR="00BD52E5">
        <w:t>Foster Decl., Ex. 10 [</w:t>
      </w:r>
      <w:r>
        <w:t>3/16 Tr. 71:4-10</w:t>
      </w:r>
      <w:r w:rsidR="00BD52E5">
        <w:t>]</w:t>
      </w:r>
      <w:r>
        <w:t xml:space="preserve"> [“What I’m saying is if you want to, if you want to say that there’s more material that they have that they haven’t provided, you need to bring some type of a motion to suggest that.  Or identify what they haven’t provided.  If you think that what they have provided indicates that documents have been lost, destroyed, not preserved, and there should be some sanction for that, then you need to </w:t>
      </w:r>
      <w:r w:rsidR="00F85421">
        <w:t>identify that</w:t>
      </w:r>
      <w:r w:rsidR="00011800">
        <w:t xml:space="preserve">”].)  This </w:t>
      </w:r>
      <w:r>
        <w:t>motion</w:t>
      </w:r>
      <w:r w:rsidR="00BD52E5">
        <w:t xml:space="preserve"> is</w:t>
      </w:r>
      <w:r w:rsidR="00011800">
        <w:t xml:space="preserve"> brought in response to the Court’s observations,</w:t>
      </w:r>
      <w:r>
        <w:t xml:space="preserve"> </w:t>
      </w:r>
      <w:r w:rsidR="00BD52E5">
        <w:t xml:space="preserve">and it </w:t>
      </w:r>
      <w:r>
        <w:t xml:space="preserve">sets forth why destruction of the emails </w:t>
      </w:r>
      <w:r w:rsidR="00A64386">
        <w:t xml:space="preserve">satisfies the </w:t>
      </w:r>
      <w:r w:rsidR="00A64386" w:rsidRPr="008F40CB">
        <w:rPr>
          <w:i/>
        </w:rPr>
        <w:t>Trombetta</w:t>
      </w:r>
      <w:r w:rsidR="00A64386">
        <w:t xml:space="preserve"> standard and warrants dismissal of the indictment.  </w:t>
      </w:r>
      <w:r>
        <w:t xml:space="preserve"> </w:t>
      </w:r>
    </w:p>
    <w:p w:rsidR="00A952C8" w:rsidRDefault="00A952C8" w:rsidP="00A952C8">
      <w:pPr>
        <w:pStyle w:val="Pleading1L1"/>
        <w:spacing w:before="120"/>
      </w:pPr>
      <w:r>
        <w:t>ARGUMENT</w:t>
      </w:r>
    </w:p>
    <w:p w:rsidR="00A64386" w:rsidRDefault="00BB7D7D" w:rsidP="00F85421">
      <w:pPr>
        <w:pStyle w:val="Pleading1L2"/>
        <w:spacing w:before="0" w:line="480" w:lineRule="exact"/>
      </w:pPr>
      <w:r>
        <w:t>The</w:t>
      </w:r>
      <w:r w:rsidR="00F85421">
        <w:t xml:space="preserve"> Legal</w:t>
      </w:r>
      <w:r>
        <w:t xml:space="preserve"> Standard </w:t>
      </w:r>
      <w:r w:rsidR="00F85421">
        <w:t>f</w:t>
      </w:r>
      <w:r>
        <w:t xml:space="preserve">or </w:t>
      </w:r>
      <w:r w:rsidR="00F85421">
        <w:t>a Motion to Dismiss Based on t</w:t>
      </w:r>
      <w:r>
        <w:t>he Prosecution’s Destruction of Evidence</w:t>
      </w:r>
    </w:p>
    <w:p w:rsidR="00BB7D7D" w:rsidRDefault="00BB7D7D" w:rsidP="00BB7D7D">
      <w:pPr>
        <w:pStyle w:val="BodyText1"/>
        <w:widowControl/>
      </w:pPr>
      <w:r>
        <w:t xml:space="preserve">As the Court is aware from Mr. Burum’s prior </w:t>
      </w:r>
      <w:r w:rsidR="00F85421">
        <w:rPr>
          <w:i/>
        </w:rPr>
        <w:t>Trombetta</w:t>
      </w:r>
      <w:r w:rsidR="00F85421">
        <w:t xml:space="preserve"> </w:t>
      </w:r>
      <w:r>
        <w:t>motion, the People have a constitutional duty to preserve evidence “that might be expected to play a significant role in the suspect’s defense.” (</w:t>
      </w:r>
      <w:r>
        <w:rPr>
          <w:i/>
        </w:rPr>
        <w:t>C</w:t>
      </w:r>
      <w:bookmarkStart w:id="4" w:name="_BA_Cite_FE9971_000322"/>
      <w:bookmarkEnd w:id="4"/>
      <w:r>
        <w:rPr>
          <w:i/>
        </w:rPr>
        <w:t>alifornia v. Trombetta</w:t>
      </w:r>
      <w:r>
        <w:t xml:space="preserve"> (1984) 467 U.S. 479, 488; accord </w:t>
      </w:r>
      <w:r>
        <w:rPr>
          <w:i/>
        </w:rPr>
        <w:t>P</w:t>
      </w:r>
      <w:bookmarkStart w:id="5" w:name="_BA_Cite_FE9971_000324"/>
      <w:bookmarkEnd w:id="5"/>
      <w:r>
        <w:rPr>
          <w:i/>
        </w:rPr>
        <w:t>eople v. Alexander</w:t>
      </w:r>
      <w:r>
        <w:t xml:space="preserve"> (2010) 49 Cal.4th 846, 878 [“Due process requires the state preserve evidence in its possession where it is reasonable to expect the evidence would play a significant role in the </w:t>
      </w:r>
      <w:r>
        <w:lastRenderedPageBreak/>
        <w:t>defense”].)  An affirmative duty to preserve evidence arises when it “possess[es] an exculpatory value that was apparent before the evidence was destroyed, and be of such a nature that the defendant would be unable to obtain comparable evidence by other reasonably available means.”  (</w:t>
      </w:r>
      <w:r>
        <w:rPr>
          <w:i/>
        </w:rPr>
        <w:t>T</w:t>
      </w:r>
      <w:bookmarkStart w:id="6" w:name="_BA_Cite_FE9971_000353"/>
      <w:bookmarkEnd w:id="6"/>
      <w:r>
        <w:rPr>
          <w:i/>
        </w:rPr>
        <w:t>rombetta</w:t>
      </w:r>
      <w:r>
        <w:t xml:space="preserve">, 467 U.S. at 489.)  </w:t>
      </w:r>
    </w:p>
    <w:p w:rsidR="00BB7D7D" w:rsidRPr="00BB7D7D" w:rsidRDefault="00BB7D7D" w:rsidP="00BB7D7D">
      <w:pPr>
        <w:pStyle w:val="BodyText1"/>
      </w:pPr>
      <w:r>
        <w:t>And even if the exculpatory</w:t>
      </w:r>
      <w:r w:rsidR="0053109F">
        <w:t xml:space="preserve"> nature of the evidence is not plain from the circumstances</w:t>
      </w:r>
      <w:r>
        <w:t xml:space="preserve">, the People still have a duty to preserve “potentially useful” evidence.  (See </w:t>
      </w:r>
      <w:r>
        <w:rPr>
          <w:i/>
        </w:rPr>
        <w:t>Y</w:t>
      </w:r>
      <w:bookmarkStart w:id="7" w:name="_BA_Cite_FE9971_000354"/>
      <w:bookmarkEnd w:id="7"/>
      <w:r>
        <w:rPr>
          <w:i/>
        </w:rPr>
        <w:t>oungblood</w:t>
      </w:r>
      <w:r>
        <w:t xml:space="preserve">, 488 U.S. at 58 [holding that “unless a criminal defendant can show bad faith on the part of the police, failure to preserve potentially useful evidence does not constitute a denial of due process of law”]; accord </w:t>
      </w:r>
      <w:r>
        <w:rPr>
          <w:i/>
        </w:rPr>
        <w:t>P</w:t>
      </w:r>
      <w:bookmarkStart w:id="8" w:name="_BA_Cite_FE9971_000326"/>
      <w:bookmarkEnd w:id="8"/>
      <w:r>
        <w:rPr>
          <w:i/>
        </w:rPr>
        <w:t>eople v. DePriest</w:t>
      </w:r>
      <w:r>
        <w:t xml:space="preserve"> (2007) 42 Cal.4th 1, 41-42].)  In such cases, the moving party must demonstrate that the evidence was destroyed in bad faith.  (See </w:t>
      </w:r>
      <w:r>
        <w:rPr>
          <w:i/>
        </w:rPr>
        <w:t>P</w:t>
      </w:r>
      <w:bookmarkStart w:id="9" w:name="_BA_Cite_FE9971_000328"/>
      <w:bookmarkEnd w:id="9"/>
      <w:r>
        <w:rPr>
          <w:i/>
        </w:rPr>
        <w:t>eople v. Alvarez</w:t>
      </w:r>
      <w:r>
        <w:t xml:space="preserve"> (2014) 229 Cal.App.4th 761, 774 [“If the higher standard of apparent exculpatory value is met, the motion is granted in the defendant’s favor.  But if the best that can be said of the evidence is that it was ‘potentially useful,’ the defendant must also establish bad faith on the part of the police or prosecution”].) </w:t>
      </w:r>
    </w:p>
    <w:p w:rsidR="00A952C8" w:rsidRDefault="00A952C8" w:rsidP="00F85421">
      <w:pPr>
        <w:pStyle w:val="Pleading1L2"/>
        <w:spacing w:before="0" w:line="480" w:lineRule="exact"/>
      </w:pPr>
      <w:r>
        <w:t xml:space="preserve">The Attorney General’s Destruction of Potential Evidence Meets The </w:t>
      </w:r>
      <w:r w:rsidRPr="008F40CB">
        <w:rPr>
          <w:i/>
        </w:rPr>
        <w:t>Trombetta</w:t>
      </w:r>
      <w:r>
        <w:t xml:space="preserve"> Standard</w:t>
      </w:r>
    </w:p>
    <w:p w:rsidR="00A952C8" w:rsidRDefault="00A952C8" w:rsidP="0053109F">
      <w:pPr>
        <w:pStyle w:val="BodyText"/>
        <w:widowControl/>
      </w:pPr>
      <w:r>
        <w:t xml:space="preserve">Speaking through Mr. Cope’s declaration regarding the disposition of the Attorney General’s responsive emails, the Attorney General’s Office admits it destroyed any </w:t>
      </w:r>
      <w:r w:rsidR="00F65A25">
        <w:t xml:space="preserve">once-existing </w:t>
      </w:r>
      <w:r>
        <w:t>emails responsive to the Court’s Discovery Order.  [cite].   Indeed, the</w:t>
      </w:r>
      <w:r w:rsidR="00011800">
        <w:t xml:space="preserve"> admission could not be plainer.</w:t>
      </w:r>
      <w:r>
        <w:t xml:space="preserve">  Mr. Cope says</w:t>
      </w:r>
      <w:r w:rsidR="00011800">
        <w:t>,</w:t>
      </w:r>
      <w:r>
        <w:t xml:space="preserve"> “I am informed and believe that the Attorney General did not preserve emails from the time period covered in the Court’s order.”</w:t>
      </w:r>
      <w:r w:rsidR="00F85421" w:rsidRPr="00F85421">
        <w:rPr>
          <w:rStyle w:val="FootnoteReference"/>
        </w:rPr>
        <w:t xml:space="preserve"> </w:t>
      </w:r>
      <w:r w:rsidR="00F85421">
        <w:rPr>
          <w:rStyle w:val="FootnoteReference"/>
        </w:rPr>
        <w:footnoteReference w:id="2"/>
      </w:r>
      <w:r>
        <w:t xml:space="preserve">  (</w:t>
      </w:r>
      <w:bookmarkStart w:id="11" w:name="_BA_Cite_C76EB4_000116"/>
      <w:bookmarkEnd w:id="11"/>
      <w:r>
        <w:t>Notice of Compliance, Declaration by R. Lewis Cope ¶ 11.)  Through a California Public Records Request, Mr. Burum has since learned that the Attorney</w:t>
      </w:r>
      <w:r w:rsidR="00F65A25">
        <w:t xml:space="preserve"> General’s Office </w:t>
      </w:r>
      <w:r>
        <w:t xml:space="preserve">has a 90-day policy for retaining emails until they are automatically destroyed, unless such emails are archived by the individual sender or recipient.  </w:t>
      </w:r>
      <w:r w:rsidR="00BB7D7D">
        <w:t xml:space="preserve">(cite).  </w:t>
      </w:r>
      <w:r>
        <w:t xml:space="preserve">In this case, that policy fell short in protecting exculpatory evidence </w:t>
      </w:r>
      <w:r w:rsidR="00E63F99">
        <w:t xml:space="preserve">that should have been retained in </w:t>
      </w:r>
      <w:r>
        <w:t xml:space="preserve">this case.    </w:t>
      </w:r>
    </w:p>
    <w:p w:rsidR="00974146" w:rsidRDefault="00F85421" w:rsidP="00A952C8">
      <w:pPr>
        <w:pStyle w:val="BodyText"/>
      </w:pPr>
      <w:r>
        <w:lastRenderedPageBreak/>
        <w:t xml:space="preserve">And to be clear, there is no question this evidence was exculpatory.  </w:t>
      </w:r>
      <w:r w:rsidR="0053109F">
        <w:t>Exculpatory evidence is “any evidence reasonably tending to negate guilt.”  (</w:t>
      </w:r>
      <w:r w:rsidR="0053109F">
        <w:rPr>
          <w:i/>
        </w:rPr>
        <w:t>M</w:t>
      </w:r>
      <w:bookmarkStart w:id="12" w:name="_BA_Cite_06D8F2_000064"/>
      <w:bookmarkEnd w:id="12"/>
      <w:r w:rsidR="0053109F">
        <w:rPr>
          <w:i/>
        </w:rPr>
        <w:t>cGill v. Superior Court</w:t>
      </w:r>
      <w:r w:rsidR="0053109F">
        <w:t xml:space="preserve"> (2011) 195 Cal.App.4th 1454, 1470; D</w:t>
      </w:r>
      <w:bookmarkStart w:id="13" w:name="_BA_Cite_06D8F2_000162"/>
      <w:bookmarkEnd w:id="13"/>
      <w:r w:rsidR="0053109F">
        <w:t xml:space="preserve">ictionary.com, http://dictionary.reference.com/browse/exculpatory [“exculpatory: 1. </w:t>
      </w:r>
      <w:r w:rsidR="0053109F">
        <w:rPr>
          <w:rStyle w:val="oneclick-link"/>
        </w:rPr>
        <w:t>tending</w:t>
      </w:r>
      <w:r w:rsidR="0053109F">
        <w:t xml:space="preserve"> </w:t>
      </w:r>
      <w:r w:rsidR="0053109F">
        <w:rPr>
          <w:rStyle w:val="oneclick-link"/>
        </w:rPr>
        <w:t>to</w:t>
      </w:r>
      <w:r w:rsidR="0053109F">
        <w:t xml:space="preserve"> </w:t>
      </w:r>
      <w:r w:rsidR="0053109F">
        <w:rPr>
          <w:rStyle w:val="oneclick-link"/>
        </w:rPr>
        <w:t>clear</w:t>
      </w:r>
      <w:r w:rsidR="0053109F">
        <w:t xml:space="preserve"> </w:t>
      </w:r>
      <w:r w:rsidR="0053109F">
        <w:rPr>
          <w:rStyle w:val="oneclick-link"/>
        </w:rPr>
        <w:t>from</w:t>
      </w:r>
      <w:r w:rsidR="0053109F">
        <w:t xml:space="preserve"> </w:t>
      </w:r>
      <w:r w:rsidR="0053109F">
        <w:rPr>
          <w:rStyle w:val="oneclick-link"/>
        </w:rPr>
        <w:t>a</w:t>
      </w:r>
      <w:r w:rsidR="0053109F">
        <w:t xml:space="preserve"> </w:t>
      </w:r>
      <w:r w:rsidR="0053109F">
        <w:rPr>
          <w:rStyle w:val="oneclick-link"/>
        </w:rPr>
        <w:t>charge</w:t>
      </w:r>
      <w:r w:rsidR="0053109F">
        <w:t xml:space="preserve"> </w:t>
      </w:r>
      <w:r w:rsidR="0053109F">
        <w:rPr>
          <w:rStyle w:val="oneclick-link"/>
        </w:rPr>
        <w:t>of</w:t>
      </w:r>
      <w:r w:rsidR="0053109F">
        <w:t xml:space="preserve"> </w:t>
      </w:r>
      <w:r w:rsidR="0053109F">
        <w:rPr>
          <w:rStyle w:val="oneclick-link"/>
        </w:rPr>
        <w:t>fault</w:t>
      </w:r>
      <w:r w:rsidR="0053109F">
        <w:t xml:space="preserve"> </w:t>
      </w:r>
      <w:r w:rsidR="0053109F">
        <w:rPr>
          <w:rStyle w:val="oneclick-link"/>
        </w:rPr>
        <w:t>or</w:t>
      </w:r>
      <w:r w:rsidR="0053109F">
        <w:t xml:space="preserve"> </w:t>
      </w:r>
      <w:r w:rsidR="0053109F">
        <w:rPr>
          <w:rStyle w:val="oneclick-link"/>
        </w:rPr>
        <w:t>guilt”]</w:t>
      </w:r>
      <w:r w:rsidR="0053109F">
        <w:t>.) </w:t>
      </w:r>
      <w:r w:rsidR="0053109F">
        <w:rPr>
          <w:color w:val="212121"/>
        </w:rPr>
        <w:t xml:space="preserve"> </w:t>
      </w:r>
      <w:r w:rsidR="0053109F">
        <w:t>The Attorney General’s</w:t>
      </w:r>
      <w:r w:rsidR="00A952C8">
        <w:t xml:space="preserve"> interviews, notes, and communications from persons familiar with the settlement are exculpatory for at least </w:t>
      </w:r>
      <w:r w:rsidR="00974146">
        <w:t>two</w:t>
      </w:r>
      <w:r w:rsidR="00A952C8">
        <w:t xml:space="preserve"> reasons.  </w:t>
      </w:r>
    </w:p>
    <w:p w:rsidR="00A952C8" w:rsidRDefault="00A952C8" w:rsidP="00A952C8">
      <w:pPr>
        <w:pStyle w:val="BodyText"/>
      </w:pPr>
      <w:r>
        <w:t xml:space="preserve">First, that evidence </w:t>
      </w:r>
      <w:r w:rsidR="0053109F">
        <w:t xml:space="preserve">would </w:t>
      </w:r>
      <w:r>
        <w:t>challenge the the</w:t>
      </w:r>
      <w:r w:rsidR="00011800">
        <w:t>ory presented to the indicting Grand J</w:t>
      </w:r>
      <w:r>
        <w:t>ury through testimony given by a dozen witnesses—including County Counsel Mitchell Norton—that the settlement was unreasonable</w:t>
      </w:r>
      <w:r w:rsidR="00BB7D7D">
        <w:t xml:space="preserve"> and, therefore, </w:t>
      </w:r>
      <w:r w:rsidR="00011800">
        <w:t>evidence of</w:t>
      </w:r>
      <w:r w:rsidR="00BB7D7D">
        <w:t xml:space="preserve"> criminal intent</w:t>
      </w:r>
      <w:r>
        <w:t xml:space="preserve">.  </w:t>
      </w:r>
      <w:r w:rsidR="0053109F">
        <w:t xml:space="preserve">(cite).  </w:t>
      </w:r>
      <w:r>
        <w:t xml:space="preserve">Mr. Norton’s testimony was particularly notable because even as </w:t>
      </w:r>
      <w:r w:rsidR="0053109F">
        <w:t>the prosecution was eliciting testimony about how Mr. Norton supposedly believed the settlement was unreasonable and flawed</w:t>
      </w:r>
      <w:r>
        <w:t xml:space="preserve">, the prosecution </w:t>
      </w:r>
      <w:r w:rsidR="0053109F">
        <w:t>knew</w:t>
      </w:r>
      <w:r>
        <w:t xml:space="preserve"> that Mr. Norton believe</w:t>
      </w:r>
      <w:r w:rsidR="00E63F99">
        <w:t>d</w:t>
      </w:r>
      <w:r>
        <w:t xml:space="preserve"> the opposite.  </w:t>
      </w:r>
      <w:r w:rsidR="00011800">
        <w:t xml:space="preserve">(cite.)  </w:t>
      </w:r>
      <w:r w:rsidR="00974146">
        <w:t xml:space="preserve">The exculpatory nature of evidence regarding the County’s change of heart has always been plain.  </w:t>
      </w:r>
      <w:r w:rsidR="00974146">
        <w:rPr>
          <w:color w:val="212121"/>
        </w:rPr>
        <w:t>T</w:t>
      </w:r>
      <w:r w:rsidR="00974146">
        <w:t xml:space="preserve">he emails destroyed by the Attorney General’s Office would have </w:t>
      </w:r>
      <w:r w:rsidR="00974A67">
        <w:t xml:space="preserve">further </w:t>
      </w:r>
      <w:r w:rsidR="00974146">
        <w:t xml:space="preserve">revealed the County’s post-settlement </w:t>
      </w:r>
      <w:r w:rsidR="00974A67">
        <w:t>r</w:t>
      </w:r>
      <w:r w:rsidR="00974146">
        <w:t>eevaluat</w:t>
      </w:r>
      <w:r w:rsidR="00974A67">
        <w:t>ion of the Colonies settlement confirmation that</w:t>
      </w:r>
      <w:r w:rsidR="00974146">
        <w:t xml:space="preserve"> it was objectively reasonable and fully justified.  (</w:t>
      </w:r>
      <w:bookmarkStart w:id="14" w:name="_BA_Cite_06D8F2_000380"/>
      <w:bookmarkEnd w:id="14"/>
      <w:r w:rsidR="00974146">
        <w:t>Ex.2, 42-46.)  Indeed, the trial court has already determined that evidence of the County’s post-settlement position was exculpatory and should have been disclosed.  (</w:t>
      </w:r>
      <w:bookmarkStart w:id="15" w:name="_BA_Cite_06D8F2_000384"/>
      <w:bookmarkEnd w:id="15"/>
      <w:r w:rsidR="00974146">
        <w:t xml:space="preserve">Ex.29, 1659:10-15.)  </w:t>
      </w:r>
      <w:r>
        <w:t xml:space="preserve">Additional evidence that this position was widely held among those who had analyzed the settlement would undermine </w:t>
      </w:r>
      <w:r w:rsidR="00974146">
        <w:t>the People’s theory</w:t>
      </w:r>
      <w:r w:rsidR="00974A67">
        <w:t xml:space="preserve"> at trial</w:t>
      </w:r>
      <w:r>
        <w:t xml:space="preserve"> and help establish the Defendants’ innocence.  </w:t>
      </w:r>
    </w:p>
    <w:p w:rsidR="00A952C8" w:rsidRDefault="00A952C8" w:rsidP="00A952C8">
      <w:pPr>
        <w:pStyle w:val="BodyText"/>
      </w:pPr>
      <w:r>
        <w:t>Second, testimony of the settlement</w:t>
      </w:r>
      <w:r w:rsidR="00E63F99">
        <w:t>’s reasonableness</w:t>
      </w:r>
      <w:r>
        <w:t xml:space="preserve"> is exculpatory because it brings the general credibility of the prosecution’s witnesses into question. Again, the grand jury testimony </w:t>
      </w:r>
      <w:r w:rsidR="0053109F">
        <w:t>demonstrates</w:t>
      </w:r>
      <w:r>
        <w:t xml:space="preserve"> this.  The prosecution presented multiple witnesses for the purpose of establishing that the settlement made no sense, that it could not be objectively justified, and that </w:t>
      </w:r>
      <w:r w:rsidR="0053109F">
        <w:t>the only explanation</w:t>
      </w:r>
      <w:r>
        <w:t xml:space="preserve"> for the settlement </w:t>
      </w:r>
      <w:r w:rsidR="0053109F">
        <w:t xml:space="preserve">must have been </w:t>
      </w:r>
      <w:r w:rsidR="00974146">
        <w:t>corruption</w:t>
      </w:r>
      <w:r w:rsidR="00387A58">
        <w:t>.  (cite</w:t>
      </w:r>
      <w:r w:rsidR="00974A67">
        <w:t>.</w:t>
      </w:r>
      <w:r w:rsidR="00387A58">
        <w:t xml:space="preserve">)  </w:t>
      </w:r>
      <w:r>
        <w:t xml:space="preserve">This evidence was directly contradicted by the information, held by Mr. Norton and </w:t>
      </w:r>
      <w:r w:rsidR="00E63F99">
        <w:t>known to the prosecution</w:t>
      </w:r>
      <w:r>
        <w:t xml:space="preserve">, that the settlement was objectively reasonable and a </w:t>
      </w:r>
      <w:r w:rsidR="00387A58">
        <w:t xml:space="preserve">sound </w:t>
      </w:r>
      <w:r>
        <w:t>conclusion to the litigation in light of Judge Warner’s</w:t>
      </w:r>
      <w:r w:rsidR="00387A58">
        <w:t xml:space="preserve"> disastrous</w:t>
      </w:r>
      <w:r>
        <w:t xml:space="preserve"> findings </w:t>
      </w:r>
      <w:r w:rsidR="00387A58">
        <w:t>against the County</w:t>
      </w:r>
      <w:r w:rsidR="00974A67">
        <w:t xml:space="preserve"> and the ever-increasing damages exposure</w:t>
      </w:r>
      <w:r>
        <w:t xml:space="preserve">.  </w:t>
      </w:r>
      <w:r w:rsidR="00974146">
        <w:t xml:space="preserve">The destroyed evidence would have been powerful impeachment evidence for any of the County’s attorneys </w:t>
      </w:r>
      <w:r w:rsidR="00974A67">
        <w:t xml:space="preserve">or employees </w:t>
      </w:r>
      <w:r w:rsidR="00974146">
        <w:t>who testified to the contrary.</w:t>
      </w:r>
      <w:r>
        <w:t xml:space="preserve">  </w:t>
      </w:r>
    </w:p>
    <w:p w:rsidR="008F40CB" w:rsidRDefault="00E63F99" w:rsidP="00A952C8">
      <w:pPr>
        <w:pStyle w:val="BodyText"/>
      </w:pPr>
      <w:r>
        <w:t>A second</w:t>
      </w:r>
      <w:r w:rsidR="008F40CB">
        <w:t xml:space="preserve"> category of documents that </w:t>
      </w:r>
      <w:r>
        <w:t xml:space="preserve">the Attorney General’s Office </w:t>
      </w:r>
      <w:r w:rsidR="008F40CB">
        <w:t>should have pre</w:t>
      </w:r>
      <w:r w:rsidR="008F40CB">
        <w:lastRenderedPageBreak/>
        <w:t xml:space="preserve">served are emails and </w:t>
      </w:r>
      <w:r>
        <w:t xml:space="preserve">other </w:t>
      </w:r>
      <w:r w:rsidR="008F40CB">
        <w:t>communications between the Attorney General’s Office and attorneys for the parti</w:t>
      </w:r>
      <w:r>
        <w:t>cipants</w:t>
      </w:r>
      <w:r w:rsidR="008F40CB">
        <w:t xml:space="preserve"> in the civil indemnification case between San Bernardino County and the other governmental entities involved in the Colonies lawsuit.  It is indisputable that collaboration took place</w:t>
      </w:r>
      <w:r w:rsidR="00974A67">
        <w:t xml:space="preserve"> between those attorneys and the Attorney General’s Office</w:t>
      </w:r>
      <w:r w:rsidR="008F40CB">
        <w:t xml:space="preserve">.  At least one such document has been produced already, showing communication between </w:t>
      </w:r>
      <w:r w:rsidR="00525786">
        <w:t>DDA</w:t>
      </w:r>
      <w:r w:rsidR="00974A67">
        <w:t xml:space="preserve"> </w:t>
      </w:r>
      <w:r w:rsidR="008F40CB">
        <w:t>Mandel and the insurers</w:t>
      </w:r>
      <w:r>
        <w:t>’ attorneys</w:t>
      </w:r>
      <w:r w:rsidR="008F40CB">
        <w:t xml:space="preserve">.  (cite).  </w:t>
      </w:r>
      <w:r w:rsidR="00974A67">
        <w:t>DAG</w:t>
      </w:r>
      <w:r w:rsidR="008F40CB">
        <w:t xml:space="preserve"> Mandel </w:t>
      </w:r>
      <w:r>
        <w:t xml:space="preserve">personally </w:t>
      </w:r>
      <w:r w:rsidR="008F40CB">
        <w:t xml:space="preserve">appeared </w:t>
      </w:r>
      <w:r>
        <w:t xml:space="preserve">in San Diego </w:t>
      </w:r>
      <w:r w:rsidR="008F40CB">
        <w:t xml:space="preserve">to plead for a stay of that case </w:t>
      </w:r>
      <w:r>
        <w:t>during the</w:t>
      </w:r>
      <w:r w:rsidR="008F40CB">
        <w:t xml:space="preserve"> pending</w:t>
      </w:r>
      <w:r>
        <w:t xml:space="preserve"> criminal case</w:t>
      </w:r>
      <w:r w:rsidR="008F40CB">
        <w:t xml:space="preserve">, with the purpose of heading off the very problem that led the People to hide evidence from the indicting Grand Jury.  The entire premise of the People’s investigation was that the settlement was unfair and irrational, and yet the County </w:t>
      </w:r>
      <w:r>
        <w:t xml:space="preserve">at the same time </w:t>
      </w:r>
      <w:r w:rsidR="00974A67">
        <w:t xml:space="preserve">was </w:t>
      </w:r>
      <w:r w:rsidR="008F40CB">
        <w:t>assert</w:t>
      </w:r>
      <w:r w:rsidR="00974A67">
        <w:t>ing in these indemnification proceedings tha</w:t>
      </w:r>
      <w:r w:rsidR="008F40CB">
        <w:t>t the set</w:t>
      </w:r>
      <w:r w:rsidR="00974A67">
        <w:t>tlement was fair and justified—</w:t>
      </w:r>
      <w:r w:rsidR="008F40CB">
        <w:t xml:space="preserve">and what is more had the expert witnesses, testimony, and analysis to prove it.  </w:t>
      </w:r>
      <w:r w:rsidR="00974A67">
        <w:t xml:space="preserve">DAG Mandel sought to prevent that evidence from being further developed and made available to the defense.  Additional communications regarding this effort would likely have contained further exculpatory evidence. </w:t>
      </w:r>
    </w:p>
    <w:p w:rsidR="00A952C8" w:rsidRDefault="004238AD" w:rsidP="00A952C8">
      <w:pPr>
        <w:pStyle w:val="Pleading1L2"/>
      </w:pPr>
      <w:r>
        <w:t>All Avenues Of Alternative Production Have Been Exhausted</w:t>
      </w:r>
    </w:p>
    <w:p w:rsidR="004238AD" w:rsidRPr="004238AD" w:rsidRDefault="004238AD" w:rsidP="004238AD">
      <w:pPr>
        <w:pStyle w:val="BodyText"/>
      </w:pPr>
      <w:r>
        <w:t>Mr. Burum has attempted to seek alternative production of these documents.  As noted above, San Bernardino County produce</w:t>
      </w:r>
      <w:r w:rsidR="00E63F99">
        <w:t>d</w:t>
      </w:r>
      <w:r>
        <w:t xml:space="preserve"> some emails where Mr. Schons was copied. </w:t>
      </w:r>
      <w:r w:rsidR="0053109F">
        <w:t xml:space="preserve"> (cite). </w:t>
      </w:r>
      <w:r>
        <w:t xml:space="preserve"> While Mr. Burum has these limited number of emails, </w:t>
      </w:r>
      <w:r w:rsidR="00387A58">
        <w:t xml:space="preserve">it is clear he does </w:t>
      </w:r>
      <w:r w:rsidR="00974146">
        <w:t xml:space="preserve">not </w:t>
      </w:r>
      <w:r w:rsidR="00387A58">
        <w:t>possess</w:t>
      </w:r>
      <w:r>
        <w:t xml:space="preserve"> </w:t>
      </w:r>
      <w:r w:rsidR="00387A58">
        <w:t>all</w:t>
      </w:r>
      <w:r>
        <w:t xml:space="preserve"> </w:t>
      </w:r>
      <w:r w:rsidR="00974146">
        <w:t xml:space="preserve">of the </w:t>
      </w:r>
      <w:r>
        <w:t xml:space="preserve">relevant emails </w:t>
      </w:r>
      <w:r w:rsidR="00974A67">
        <w:t xml:space="preserve">that were </w:t>
      </w:r>
      <w:r>
        <w:t xml:space="preserve">once in the Attorney General’s possession and control.  Indeed, it is all the more likely that Mr. </w:t>
      </w:r>
      <w:r w:rsidR="00974146">
        <w:t xml:space="preserve">Burum does not have </w:t>
      </w:r>
      <w:r w:rsidR="00974A67">
        <w:t xml:space="preserve">all </w:t>
      </w:r>
      <w:r w:rsidR="00974146">
        <w:t>such emails</w:t>
      </w:r>
      <w:r>
        <w:t xml:space="preserve"> given the Attorney General’s lack of transparency and candor in the first place.  This is not the first time Mr. Burum has run into that wall, and when the People </w:t>
      </w:r>
      <w:r w:rsidR="00387A58">
        <w:t>build</w:t>
      </w:r>
      <w:r>
        <w:t xml:space="preserve"> that wall, there is </w:t>
      </w:r>
      <w:r w:rsidR="00387A58">
        <w:t xml:space="preserve">always </w:t>
      </w:r>
      <w:r>
        <w:t xml:space="preserve">something behind it the People do not want </w:t>
      </w:r>
      <w:r w:rsidR="00387A58">
        <w:t xml:space="preserve">this Court or </w:t>
      </w:r>
      <w:r>
        <w:t xml:space="preserve">Mr. Burum to find.  In any event, there are no additional third-party sources Mr. Burum is aware of that could produce the documents that should have been preserved and produced by the Attorney General’s </w:t>
      </w:r>
      <w:r w:rsidR="00974146">
        <w:t>O</w:t>
      </w:r>
      <w:r>
        <w:t xml:space="preserve">ffice.  </w:t>
      </w:r>
    </w:p>
    <w:p w:rsidR="00A952C8" w:rsidRDefault="00A952C8" w:rsidP="00A952C8">
      <w:pPr>
        <w:pStyle w:val="Pleading1L2"/>
      </w:pPr>
      <w:r>
        <w:t>Bad</w:t>
      </w:r>
      <w:r w:rsidR="00F26BBD">
        <w:t xml:space="preserve"> Faith Is Not a</w:t>
      </w:r>
      <w:r>
        <w:t xml:space="preserve"> Necessary Showing, But </w:t>
      </w:r>
      <w:r w:rsidR="00F26BBD">
        <w:t>i</w:t>
      </w:r>
      <w:r w:rsidR="004238AD">
        <w:t>t</w:t>
      </w:r>
      <w:r>
        <w:t xml:space="preserve"> Has Been Established Here</w:t>
      </w:r>
    </w:p>
    <w:p w:rsidR="00A952C8" w:rsidRDefault="00A952C8" w:rsidP="00A952C8">
      <w:pPr>
        <w:pStyle w:val="BodyText"/>
      </w:pPr>
      <w:r>
        <w:t>Because the e</w:t>
      </w:r>
      <w:r w:rsidR="00F26BBD">
        <w:t>vidence the Attorney General’s O</w:t>
      </w:r>
      <w:r>
        <w:t>ffice has destroyed was exculpatory, Mr. Burum</w:t>
      </w:r>
      <w:r w:rsidR="0041396B">
        <w:t xml:space="preserve"> need not show bad faith, b</w:t>
      </w:r>
      <w:r>
        <w:t xml:space="preserve">ut bad faith is </w:t>
      </w:r>
      <w:r w:rsidR="00F26BBD">
        <w:t xml:space="preserve">nevertheless </w:t>
      </w:r>
      <w:r>
        <w:t xml:space="preserve">evident here.  In </w:t>
      </w:r>
      <w:r w:rsidRPr="00A952C8">
        <w:rPr>
          <w:i/>
        </w:rPr>
        <w:t>People v. Alvarez</w:t>
      </w:r>
      <w:r>
        <w:t xml:space="preserve"> (2014) 229 Cal.App.4th 761, Division 3 of the Fourth District Court of Appeal </w:t>
      </w:r>
      <w:r w:rsidR="007A061D">
        <w:t xml:space="preserve">considered a </w:t>
      </w:r>
      <w:r w:rsidR="007A061D" w:rsidRPr="007A061D">
        <w:rPr>
          <w:i/>
        </w:rPr>
        <w:t>Trombetta</w:t>
      </w:r>
      <w:r w:rsidR="007A061D">
        <w:t xml:space="preserve"> motion regarding video footage belonging to a private party that detectives knew </w:t>
      </w:r>
      <w:r w:rsidR="0053109F">
        <w:t>existed, but repeatedly failed to review</w:t>
      </w:r>
      <w:r w:rsidR="007A061D">
        <w:t xml:space="preserve">.  The footage disappeared and could not be retrieved.  </w:t>
      </w:r>
      <w:r w:rsidR="007A061D">
        <w:lastRenderedPageBreak/>
        <w:t>Unsurprisingly, the People made the same argument in</w:t>
      </w:r>
      <w:r w:rsidR="008D6143">
        <w:t xml:space="preserve"> </w:t>
      </w:r>
      <w:r w:rsidR="0053109F" w:rsidRPr="0053109F">
        <w:rPr>
          <w:i/>
        </w:rPr>
        <w:t>Alvarez</w:t>
      </w:r>
      <w:r w:rsidR="008D6143">
        <w:t xml:space="preserve"> that they </w:t>
      </w:r>
      <w:r w:rsidR="0053109F">
        <w:t>made</w:t>
      </w:r>
      <w:r w:rsidR="008D6143">
        <w:t xml:space="preserve"> here—because no one had seen the videos, no</w:t>
      </w:r>
      <w:r w:rsidR="004C208F">
        <w:t xml:space="preserve"> one knew what was on them and thus no exculpatory value could be shown. </w:t>
      </w:r>
      <w:r w:rsidR="00387A58">
        <w:t xml:space="preserve"> (cite) </w:t>
      </w:r>
      <w:r w:rsidR="004C208F">
        <w:t xml:space="preserve"> The Court disagreed, holding that while it could not be certain the footage was exculpatory, it was certainly of potential use.  </w:t>
      </w:r>
      <w:r w:rsidR="00387A58">
        <w:t xml:space="preserve">(cite)  </w:t>
      </w:r>
      <w:r w:rsidR="004C208F">
        <w:t xml:space="preserve">The trial court then determined that under the circumstances, where law enforcement was aware of the video footage and simply failed to obtain it, bad faith was present.  </w:t>
      </w:r>
    </w:p>
    <w:p w:rsidR="00A952C8" w:rsidRDefault="004C208F" w:rsidP="00A952C8">
      <w:pPr>
        <w:pStyle w:val="BodyText"/>
      </w:pPr>
      <w:r>
        <w:t xml:space="preserve">This case is worse than </w:t>
      </w:r>
      <w:r w:rsidRPr="004C208F">
        <w:rPr>
          <w:i/>
        </w:rPr>
        <w:t>Alvarez</w:t>
      </w:r>
      <w:r>
        <w:t>.  In that case, the video footage was never actually in law enforcement’s p</w:t>
      </w:r>
      <w:r w:rsidR="00387A58">
        <w:t xml:space="preserve">ossession—law enforcement </w:t>
      </w:r>
      <w:r w:rsidR="00F26BBD">
        <w:t xml:space="preserve">simply </w:t>
      </w:r>
      <w:r w:rsidR="00387A58">
        <w:t>refused to take custody of third-party</w:t>
      </w:r>
      <w:r>
        <w:t xml:space="preserve"> footage it knew existed.  In thi</w:t>
      </w:r>
      <w:r w:rsidR="00F26BBD">
        <w:t>s case, the Attorney General’s O</w:t>
      </w:r>
      <w:r>
        <w:t xml:space="preserve">ffice always had control of its own emails, was fully aware of the ongoing Burum investigation and its ongoing duty to retain documents pursuant to that investigation so they could later be </w:t>
      </w:r>
      <w:r w:rsidR="00387A58">
        <w:t>produced</w:t>
      </w:r>
      <w:r>
        <w:t xml:space="preserve"> to the defense.  It is also apparent, despite the People’s latest denials, that there were responsive documents in its possession at </w:t>
      </w:r>
      <w:r w:rsidR="003363EE">
        <w:t xml:space="preserve">some </w:t>
      </w:r>
      <w:r w:rsidR="00F26BBD">
        <w:t xml:space="preserve">point in </w:t>
      </w:r>
      <w:r>
        <w:t xml:space="preserve">time.  </w:t>
      </w:r>
      <w:r w:rsidR="0041396B">
        <w:t xml:space="preserve">At the very least, </w:t>
      </w:r>
      <w:r>
        <w:t>Assistant Attorney General Schons</w:t>
      </w:r>
      <w:r w:rsidR="0039384C">
        <w:t xml:space="preserve"> </w:t>
      </w:r>
      <w:r w:rsidR="0041396B">
        <w:t>received</w:t>
      </w:r>
      <w:r w:rsidR="0039384C">
        <w:t xml:space="preserve"> such emails.  When combined with the Attorney Gener</w:t>
      </w:r>
      <w:r w:rsidR="0053109F">
        <w:t xml:space="preserve">al’s Office’s </w:t>
      </w:r>
      <w:r w:rsidR="0039384C">
        <w:t>active participa</w:t>
      </w:r>
      <w:r w:rsidR="0053109F">
        <w:t xml:space="preserve">tion in </w:t>
      </w:r>
      <w:r w:rsidR="0039384C">
        <w:t xml:space="preserve">the Colonies </w:t>
      </w:r>
      <w:r w:rsidR="0053109F">
        <w:t>investigation</w:t>
      </w:r>
      <w:r w:rsidR="0039384C">
        <w:t>, it</w:t>
      </w:r>
      <w:r w:rsidR="003363EE">
        <w:t xml:space="preserve"> is</w:t>
      </w:r>
      <w:r w:rsidR="0039384C">
        <w:t xml:space="preserve"> reasonable </w:t>
      </w:r>
      <w:r w:rsidR="0053109F">
        <w:t>to infer</w:t>
      </w:r>
      <w:r w:rsidR="0039384C">
        <w:t xml:space="preserve"> that other </w:t>
      </w:r>
      <w:r w:rsidR="0053109F">
        <w:t xml:space="preserve">relevant </w:t>
      </w:r>
      <w:r w:rsidR="0039384C">
        <w:t xml:space="preserve">emails were deleted as well.  </w:t>
      </w:r>
    </w:p>
    <w:p w:rsidR="00A952C8" w:rsidRDefault="0039384C" w:rsidP="0053109F">
      <w:pPr>
        <w:pStyle w:val="BodyText"/>
        <w:widowControl/>
      </w:pPr>
      <w:r>
        <w:t>Nor is the</w:t>
      </w:r>
      <w:r w:rsidR="0041396B">
        <w:t xml:space="preserve">re any reasonable excuse for deleting </w:t>
      </w:r>
      <w:r>
        <w:t xml:space="preserve">emails relevant to these matters.  </w:t>
      </w:r>
      <w:r w:rsidR="00A952C8">
        <w:t>The preservation of emails is a basic requirement, even of parties in civil litigation.  (See e.g., F</w:t>
      </w:r>
      <w:bookmarkStart w:id="16" w:name="_BA_Cite_C76EB4_000081"/>
      <w:bookmarkEnd w:id="16"/>
      <w:r w:rsidR="00A952C8">
        <w:t xml:space="preserve">ed. Rules Civ. Proc., Rule 37 [sanctions available “[i]f electronically stored information that should have been preserved in the anticipation or conduct of litigation is lost because a party failed to take reasonable steps to preserve it”]; </w:t>
      </w:r>
      <w:r w:rsidR="00A952C8">
        <w:rPr>
          <w:i/>
        </w:rPr>
        <w:t>Zubulake v. UBS Warburg LLC</w:t>
      </w:r>
      <w:r w:rsidR="00A952C8">
        <w:t xml:space="preserve"> (S.D.N.Y. 2003) 220 F.R.D. 212, 218 [“Once a party reasonably anticipates litigation, it must suspend its routine document retention/destruction policy and put in place a ‘litigation hold’ to ensure the pre</w:t>
      </w:r>
      <w:r w:rsidR="00F26BBD">
        <w:t>servation of relevant documents</w:t>
      </w:r>
      <w:r w:rsidR="00A952C8">
        <w:t>”].)  Under California law, a party in civil litigation who destroys evidence may be subjected to adverse inferences</w:t>
      </w:r>
      <w:r w:rsidR="0041396B">
        <w:t xml:space="preserve"> at trial</w:t>
      </w:r>
      <w:r w:rsidR="00A952C8">
        <w:t xml:space="preserve">; monetary, evidentiary, or contempt sanctions; and </w:t>
      </w:r>
      <w:r w:rsidR="00F26BBD">
        <w:t xml:space="preserve">its counsel may </w:t>
      </w:r>
      <w:r w:rsidR="00A952C8">
        <w:t xml:space="preserve">even </w:t>
      </w:r>
      <w:r w:rsidR="00F26BBD">
        <w:t xml:space="preserve">face </w:t>
      </w:r>
      <w:r w:rsidR="00A952C8">
        <w:t>discipline by the California State Bar.  (See</w:t>
      </w:r>
      <w:r w:rsidR="00A952C8">
        <w:rPr>
          <w:i/>
        </w:rPr>
        <w:t xml:space="preserve"> C</w:t>
      </w:r>
      <w:bookmarkStart w:id="17" w:name="_BA_Cite_C76EB4_000015"/>
      <w:bookmarkEnd w:id="17"/>
      <w:r w:rsidR="00A952C8">
        <w:rPr>
          <w:i/>
        </w:rPr>
        <w:t>edars-Sinai Medical Center v. Superior Court</w:t>
      </w:r>
      <w:r w:rsidR="00A952C8">
        <w:t xml:space="preserve"> (1998) 18 Cal.4th 1, 12-14, citing E</w:t>
      </w:r>
      <w:bookmarkStart w:id="18" w:name="_BA_Cite_C76EB4_000061"/>
      <w:bookmarkEnd w:id="18"/>
      <w:r w:rsidR="00A952C8">
        <w:t>vid. Code, § 413 [adverse inferences]; B</w:t>
      </w:r>
      <w:bookmarkStart w:id="19" w:name="_BA_Cite_C76EB4_000083"/>
      <w:bookmarkEnd w:id="19"/>
      <w:r w:rsidR="00A952C8">
        <w:t>AJI No. 2.03 [same]; C</w:t>
      </w:r>
      <w:bookmarkStart w:id="20" w:name="_BA_Cite_C76EB4_000063"/>
      <w:bookmarkEnd w:id="20"/>
      <w:r w:rsidR="00A952C8">
        <w:t>ode Civ. Proc., § 2023.030 [sanctions for discovery abuses]; B</w:t>
      </w:r>
      <w:bookmarkStart w:id="21" w:name="_BA_Cite_C76EB4_000065"/>
      <w:bookmarkEnd w:id="21"/>
      <w:r w:rsidR="00A952C8">
        <w:t>us. &amp; Prof. Code, § 6106 [ethical prohibitions against spoliation of evidence]; R</w:t>
      </w:r>
      <w:bookmarkStart w:id="22" w:name="_BA_Cite_C76EB4_000085"/>
      <w:bookmarkEnd w:id="22"/>
      <w:r w:rsidR="00A952C8">
        <w:t xml:space="preserve">ules Prof. Conduct, rule 5–220 [same].)  Spoliation of evidence </w:t>
      </w:r>
      <w:r>
        <w:t xml:space="preserve">can </w:t>
      </w:r>
      <w:r w:rsidR="00A952C8">
        <w:t xml:space="preserve">even </w:t>
      </w:r>
      <w:r>
        <w:t xml:space="preserve">be </w:t>
      </w:r>
      <w:r w:rsidR="00A952C8">
        <w:t>a criminal offense</w:t>
      </w:r>
      <w:r>
        <w:t xml:space="preserve"> under the appropriate circumstances</w:t>
      </w:r>
      <w:r w:rsidR="00A952C8">
        <w:t xml:space="preserve">:  “Every person who, knowing that any book, </w:t>
      </w:r>
      <w:r w:rsidR="00A952C8">
        <w:lastRenderedPageBreak/>
        <w:t>paper, record, instrument in writing, or other matter or thing, is about to be produced in evidence upon any trial, inquiry, or investigation whatever, authorized by law, willfully destroys or conceals the same, with intent thereby to prevent it from being produced, is guilty of a misdemeanor.”  (P</w:t>
      </w:r>
      <w:bookmarkStart w:id="23" w:name="_BA_Cite_C76EB4_000067"/>
      <w:bookmarkEnd w:id="23"/>
      <w:r w:rsidR="00A952C8">
        <w:t>en. Code</w:t>
      </w:r>
      <w:r w:rsidR="00F26BBD">
        <w:t>,</w:t>
      </w:r>
      <w:r w:rsidR="00A952C8">
        <w:t xml:space="preserve"> § 135.)</w:t>
      </w:r>
    </w:p>
    <w:p w:rsidR="00A952C8" w:rsidRDefault="0039384C" w:rsidP="00A952C8">
      <w:pPr>
        <w:pStyle w:val="BodyText"/>
      </w:pPr>
      <w:r>
        <w:t>C</w:t>
      </w:r>
      <w:r w:rsidR="00A952C8">
        <w:t>ourts should expect no less of government attorneys prosecuting a criminal offense than it does of civil attorneys litigating far less weighty matters.  This is particularly so because in the criminal context, the People’ failure to preserve emails has constitutional implications.  (</w:t>
      </w:r>
      <w:r w:rsidR="00A952C8">
        <w:rPr>
          <w:i/>
        </w:rPr>
        <w:t>Trombetta</w:t>
      </w:r>
      <w:r w:rsidR="00F26BBD">
        <w:t>,</w:t>
      </w:r>
      <w:r w:rsidR="00A952C8">
        <w:t xml:space="preserve"> 467 U.S. </w:t>
      </w:r>
      <w:r w:rsidR="00F26BBD">
        <w:t>at</w:t>
      </w:r>
      <w:r w:rsidR="00A952C8">
        <w:t xml:space="preserve"> 485 [“A defendant has a constitutionally protected privilege to request and obtain from the prosecution evidence that is either material to the guilt of the defendant or relevant </w:t>
      </w:r>
      <w:r w:rsidR="00F26BBD">
        <w:t>to the punishment to be imposed</w:t>
      </w:r>
      <w:r w:rsidR="00A952C8">
        <w:t xml:space="preserve">”]; </w:t>
      </w:r>
      <w:r w:rsidR="00A952C8">
        <w:rPr>
          <w:i/>
        </w:rPr>
        <w:t>P</w:t>
      </w:r>
      <w:bookmarkStart w:id="24" w:name="_BA_Cite_C76EB4_000019"/>
      <w:bookmarkEnd w:id="24"/>
      <w:r w:rsidR="00A952C8">
        <w:rPr>
          <w:i/>
        </w:rPr>
        <w:t xml:space="preserve">eople v. Alexander </w:t>
      </w:r>
      <w:r w:rsidR="00A952C8">
        <w:t>(2010) 49 Cal.</w:t>
      </w:r>
      <w:r w:rsidR="0041396B">
        <w:t>4th</w:t>
      </w:r>
      <w:r w:rsidR="00A952C8">
        <w:t xml:space="preserve"> 846, 878 [“Due process requires the state preserve evidence in its possession where it is reasonable to expect the evidence would play a significant role in</w:t>
      </w:r>
      <w:r w:rsidR="00F26BBD">
        <w:t xml:space="preserve"> the defense</w:t>
      </w:r>
      <w:r w:rsidR="00A952C8">
        <w:t xml:space="preserve">”].)  Because the People have </w:t>
      </w:r>
      <w:r>
        <w:t>again chosen to stonewall, deny, and refuse even to represent that the</w:t>
      </w:r>
      <w:r w:rsidR="00A952C8">
        <w:t xml:space="preserve"> destruction of </w:t>
      </w:r>
      <w:r>
        <w:t xml:space="preserve">relevant </w:t>
      </w:r>
      <w:r w:rsidR="00A952C8">
        <w:t>emails was made “in good faith and in accord with their normal practice</w:t>
      </w:r>
      <w:r>
        <w:t xml:space="preserve">,” </w:t>
      </w:r>
      <w:r w:rsidR="00A952C8">
        <w:t>(</w:t>
      </w:r>
      <w:r w:rsidR="00A952C8">
        <w:rPr>
          <w:i/>
        </w:rPr>
        <w:t>T</w:t>
      </w:r>
      <w:bookmarkStart w:id="25" w:name="_BA_Cite_C76EB4_000086"/>
      <w:bookmarkEnd w:id="25"/>
      <w:r w:rsidR="00A952C8">
        <w:rPr>
          <w:i/>
        </w:rPr>
        <w:t>rombetta</w:t>
      </w:r>
      <w:r w:rsidR="00A952C8">
        <w:t xml:space="preserve">, 467 U.S. at 488), </w:t>
      </w:r>
      <w:r>
        <w:t>the constitutional</w:t>
      </w:r>
      <w:r w:rsidR="00A952C8">
        <w:t xml:space="preserve"> concern</w:t>
      </w:r>
      <w:r>
        <w:t>s</w:t>
      </w:r>
      <w:r w:rsidR="00A952C8">
        <w:t xml:space="preserve"> </w:t>
      </w:r>
      <w:r>
        <w:t>regarding the People’s destruction of evidence are impossible to abate</w:t>
      </w:r>
      <w:r w:rsidR="00A952C8">
        <w:t xml:space="preserve">.  </w:t>
      </w:r>
    </w:p>
    <w:p w:rsidR="007C6800" w:rsidRPr="0053109F" w:rsidRDefault="0053109F" w:rsidP="003363EE">
      <w:pPr>
        <w:keepNext/>
        <w:widowControl/>
        <w:spacing w:line="480" w:lineRule="exact"/>
        <w:jc w:val="center"/>
        <w:rPr>
          <w:b/>
          <w:u w:val="single"/>
        </w:rPr>
      </w:pPr>
      <w:r w:rsidRPr="0053109F">
        <w:rPr>
          <w:b/>
          <w:u w:val="single"/>
        </w:rPr>
        <w:t>CONCLUSION</w:t>
      </w:r>
    </w:p>
    <w:p w:rsidR="0053109F" w:rsidRDefault="0053109F" w:rsidP="003363EE">
      <w:pPr>
        <w:keepNext/>
        <w:widowControl/>
        <w:spacing w:line="480" w:lineRule="exact"/>
      </w:pPr>
      <w:r>
        <w:tab/>
        <w:t xml:space="preserve">For the foregoing reasons, Mr. Burum respectfully requests </w:t>
      </w:r>
      <w:r w:rsidR="00F26BBD">
        <w:t>that the Court grant this motion</w:t>
      </w:r>
      <w:r>
        <w:t xml:space="preserve"> and dismiss the Indictment in its entirety as a result of the Attorney General’s destruction of exculpatory evidence.  </w:t>
      </w:r>
    </w:p>
    <w:p w:rsidR="003C2422" w:rsidRDefault="003C2422" w:rsidP="007C6800">
      <w:pPr>
        <w:spacing w:line="480" w:lineRule="exact"/>
        <w:ind w:firstLine="720"/>
      </w:pPr>
    </w:p>
    <w:tbl>
      <w:tblPr>
        <w:tblW w:w="9576" w:type="dxa"/>
        <w:tblInd w:w="-90" w:type="dxa"/>
        <w:tblLayout w:type="fixed"/>
        <w:tblLook w:val="0000" w:firstRow="0" w:lastRow="0" w:firstColumn="0" w:lastColumn="0" w:noHBand="0" w:noVBand="0"/>
      </w:tblPr>
      <w:tblGrid>
        <w:gridCol w:w="4158"/>
        <w:gridCol w:w="5418"/>
      </w:tblGrid>
      <w:tr w:rsidR="002A6334" w:rsidRPr="00650FB5" w:rsidTr="00310F1F">
        <w:trPr>
          <w:cantSplit/>
        </w:trPr>
        <w:tc>
          <w:tcPr>
            <w:tcW w:w="4158" w:type="dxa"/>
          </w:tcPr>
          <w:p w:rsidR="002A6334" w:rsidRDefault="002A6334" w:rsidP="00310F1F">
            <w:pPr>
              <w:pStyle w:val="BodyText"/>
              <w:ind w:firstLine="0"/>
            </w:pPr>
            <w:r>
              <w:t>Dated:</w:t>
            </w:r>
            <w:r>
              <w:tab/>
            </w:r>
            <w:r w:rsidR="00F26BBD">
              <w:t>May 12</w:t>
            </w:r>
            <w:r w:rsidR="00A952C8">
              <w:t>, 2016</w:t>
            </w:r>
          </w:p>
          <w:p w:rsidR="002A6334" w:rsidRDefault="002A6334" w:rsidP="00310F1F">
            <w:pPr>
              <w:pStyle w:val="PleadingSignature"/>
            </w:pPr>
          </w:p>
        </w:tc>
        <w:tc>
          <w:tcPr>
            <w:tcW w:w="5418" w:type="dxa"/>
          </w:tcPr>
          <w:p w:rsidR="002A6334" w:rsidRDefault="002A6334" w:rsidP="00310F1F">
            <w:pPr>
              <w:pStyle w:val="PleadingSignature"/>
              <w:spacing w:line="480" w:lineRule="exact"/>
              <w:ind w:left="162"/>
            </w:pPr>
            <w:r>
              <w:t>LARSON O’BRIEN LLP</w:t>
            </w:r>
          </w:p>
          <w:p w:rsidR="002A6334" w:rsidRDefault="002A6334" w:rsidP="00310F1F">
            <w:pPr>
              <w:pStyle w:val="PleadingSignature"/>
              <w:ind w:left="162" w:right="115"/>
            </w:pPr>
            <w:r>
              <w:t>KELLER RACKAUCKAS LLP</w:t>
            </w:r>
          </w:p>
          <w:p w:rsidR="002A6334" w:rsidRDefault="002A6334" w:rsidP="002B0B24">
            <w:pPr>
              <w:pStyle w:val="PleadingSignature"/>
              <w:spacing w:before="600"/>
              <w:ind w:left="158" w:right="115"/>
            </w:pPr>
            <w:r>
              <w:t>By:</w:t>
            </w:r>
          </w:p>
          <w:p w:rsidR="002A6334" w:rsidRDefault="002A6334" w:rsidP="00310F1F">
            <w:pPr>
              <w:pStyle w:val="PleadingSignature"/>
              <w:pBdr>
                <w:top w:val="single" w:sz="4" w:space="1" w:color="auto"/>
              </w:pBdr>
              <w:ind w:left="360"/>
            </w:pPr>
            <w:r>
              <w:t>Stephen G. Larson</w:t>
            </w:r>
          </w:p>
          <w:p w:rsidR="002A6334" w:rsidRDefault="002A6334" w:rsidP="00310F1F">
            <w:pPr>
              <w:pStyle w:val="PleadingSignature"/>
              <w:pBdr>
                <w:top w:val="single" w:sz="4" w:space="1" w:color="auto"/>
              </w:pBdr>
              <w:ind w:left="360"/>
            </w:pPr>
            <w:r>
              <w:t>Jonathan E. Phillips</w:t>
            </w:r>
            <w:r>
              <w:rPr>
                <w:caps/>
              </w:rPr>
              <w:t xml:space="preserve"> </w:t>
            </w:r>
          </w:p>
          <w:p w:rsidR="002A6334" w:rsidRDefault="002A6334" w:rsidP="00310F1F">
            <w:pPr>
              <w:pStyle w:val="PleadingSignature"/>
              <w:ind w:left="342"/>
            </w:pPr>
            <w:r>
              <w:t>Jennifer L. Keller</w:t>
            </w:r>
          </w:p>
          <w:p w:rsidR="002A6334" w:rsidRPr="00650FB5" w:rsidRDefault="002A6334" w:rsidP="00310F1F">
            <w:pPr>
              <w:pStyle w:val="PleadingSignature"/>
              <w:ind w:left="360"/>
              <w:rPr>
                <w:caps/>
              </w:rPr>
            </w:pPr>
            <w:r>
              <w:t xml:space="preserve">Attorneys for Defendant </w:t>
            </w:r>
            <w:r>
              <w:br/>
              <w:t>JEFFREY BURUM</w:t>
            </w:r>
          </w:p>
        </w:tc>
      </w:tr>
    </w:tbl>
    <w:p w:rsidR="007C6800" w:rsidRDefault="007C6800" w:rsidP="00871191">
      <w:pPr>
        <w:spacing w:line="480" w:lineRule="exact"/>
      </w:pPr>
    </w:p>
    <w:p w:rsidR="00871191" w:rsidRDefault="00871191" w:rsidP="00656D7F">
      <w:pPr>
        <w:spacing w:line="480" w:lineRule="exact"/>
        <w:jc w:val="center"/>
      </w:pPr>
    </w:p>
    <w:p w:rsidR="00871191" w:rsidRDefault="00871191" w:rsidP="00656D7F">
      <w:pPr>
        <w:spacing w:line="480" w:lineRule="exact"/>
        <w:jc w:val="center"/>
        <w:sectPr w:rsidR="00871191" w:rsidSect="00292F24">
          <w:footerReference w:type="first" r:id="rId12"/>
          <w:pgSz w:w="12240" w:h="15840"/>
          <w:pgMar w:top="-1170" w:right="720" w:bottom="-1080" w:left="2088" w:header="432" w:footer="360" w:gutter="0"/>
          <w:pgNumType w:start="1"/>
          <w:cols w:space="720"/>
          <w:formProt w:val="0"/>
          <w:titlePg/>
          <w:docGrid w:linePitch="360"/>
        </w:sectPr>
      </w:pPr>
    </w:p>
    <w:p w:rsidR="008050A4" w:rsidRDefault="000B23AD">
      <w:pPr>
        <w:jc w:val="center"/>
        <w:rPr>
          <w:i/>
        </w:rPr>
      </w:pPr>
      <w:bookmarkStart w:id="26" w:name="ProofGeneric"/>
      <w:r>
        <w:rPr>
          <w:i/>
        </w:rPr>
        <w:lastRenderedPageBreak/>
        <w:t xml:space="preserve">People v. Biane, et al </w:t>
      </w:r>
    </w:p>
    <w:p w:rsidR="008050A4" w:rsidRDefault="000B23AD">
      <w:pPr>
        <w:jc w:val="center"/>
        <w:outlineLvl w:val="0"/>
      </w:pPr>
      <w:r>
        <w:t>San Bernardino Superior Case No. FSB 1102102</w:t>
      </w:r>
    </w:p>
    <w:p w:rsidR="008050A4" w:rsidRDefault="008050A4">
      <w:pPr>
        <w:jc w:val="center"/>
        <w:outlineLvl w:val="0"/>
        <w:rPr>
          <w:b/>
        </w:rPr>
      </w:pPr>
    </w:p>
    <w:p w:rsidR="008050A4" w:rsidRDefault="008050A4">
      <w:pPr>
        <w:jc w:val="center"/>
        <w:outlineLvl w:val="0"/>
        <w:rPr>
          <w:b/>
        </w:rPr>
      </w:pPr>
    </w:p>
    <w:p w:rsidR="008050A4" w:rsidRDefault="000B23AD">
      <w:pPr>
        <w:jc w:val="center"/>
        <w:outlineLvl w:val="0"/>
        <w:rPr>
          <w:b/>
          <w:u w:val="single"/>
        </w:rPr>
      </w:pPr>
      <w:r>
        <w:rPr>
          <w:b/>
          <w:u w:val="single"/>
        </w:rPr>
        <w:t>PROOF OF SERVICE</w:t>
      </w:r>
    </w:p>
    <w:p w:rsidR="008050A4" w:rsidRDefault="008050A4">
      <w:pPr>
        <w:jc w:val="center"/>
        <w:rPr>
          <w:b/>
        </w:rPr>
      </w:pPr>
    </w:p>
    <w:p w:rsidR="008050A4" w:rsidRDefault="000B23AD">
      <w:pPr>
        <w:ind w:firstLine="720"/>
        <w:jc w:val="both"/>
      </w:pPr>
      <w:bookmarkStart w:id="27" w:name="OLE_LINK109"/>
      <w:bookmarkStart w:id="28" w:name="OLE_LINK110"/>
      <w:r>
        <w:t xml:space="preserve">I am a citizen of the </w:t>
      </w:r>
      <w:smartTag w:uri="urn:schemas-microsoft-com:office:smarttags" w:element="place">
        <w:smartTag w:uri="urn:schemas-microsoft-com:office:smarttags" w:element="country-region">
          <w:r>
            <w:t>United States</w:t>
          </w:r>
        </w:smartTag>
      </w:smartTag>
      <w:r>
        <w:t xml:space="preserve">. My business address is </w:t>
      </w:r>
      <w:r w:rsidR="00D7694F">
        <w:t>Larson O’Brien</w:t>
      </w:r>
      <w:r>
        <w:t xml:space="preserve"> LLP, 555 </w:t>
      </w:r>
      <w:r w:rsidR="00D7694F">
        <w:t>S</w:t>
      </w:r>
      <w:r>
        <w:t xml:space="preserve">. </w:t>
      </w:r>
      <w:r w:rsidR="00D7694F">
        <w:t>Flower</w:t>
      </w:r>
      <w:r>
        <w:t xml:space="preserve"> Street, </w:t>
      </w:r>
      <w:r w:rsidR="00D7694F">
        <w:t>Suite 4400</w:t>
      </w:r>
      <w:r>
        <w:t>, Los Angeles, California 900</w:t>
      </w:r>
      <w:r w:rsidR="00D7694F">
        <w:t>71</w:t>
      </w:r>
      <w:r>
        <w:t xml:space="preserve">.  I am employed in the </w:t>
      </w:r>
      <w:smartTag w:uri="urn:schemas-microsoft-com:office:smarttags" w:element="place">
        <w:smartTag w:uri="schemas-westgroup-com/westlawcitation" w:element="typecases">
          <w:r>
            <w:t>County</w:t>
          </w:r>
        </w:smartTag>
        <w:r>
          <w:t xml:space="preserve"> of </w:t>
        </w:r>
        <w:smartTag w:uri="urn:schemas-microsoft-com:office:smarttags" w:element="PlaceName">
          <w:r>
            <w:t>Los Angeles</w:t>
          </w:r>
        </w:smartTag>
      </w:smartTag>
      <w:r>
        <w:t xml:space="preserve"> where this service occurs.  I am over the age of 18 years, and not a party to the within cause.</w:t>
      </w:r>
    </w:p>
    <w:p w:rsidR="008050A4" w:rsidRDefault="008050A4">
      <w:pPr>
        <w:ind w:firstLine="720"/>
        <w:jc w:val="both"/>
      </w:pPr>
    </w:p>
    <w:bookmarkEnd w:id="27"/>
    <w:bookmarkEnd w:id="28"/>
    <w:p w:rsidR="008050A4" w:rsidRDefault="000B23AD">
      <w:pPr>
        <w:pStyle w:val="BodyText1"/>
        <w:spacing w:after="240" w:line="240" w:lineRule="exact"/>
        <w:jc w:val="both"/>
      </w:pPr>
      <w:r>
        <w:t>On the date set forth below, according to ordinary business practice, I served the foregoing document described as:</w:t>
      </w:r>
    </w:p>
    <w:tbl>
      <w:tblPr>
        <w:tblW w:w="0" w:type="auto"/>
        <w:jc w:val="center"/>
        <w:tblLook w:val="01E0" w:firstRow="1" w:lastRow="1" w:firstColumn="1" w:lastColumn="1" w:noHBand="0" w:noVBand="0"/>
      </w:tblPr>
      <w:tblGrid>
        <w:gridCol w:w="9432"/>
      </w:tblGrid>
      <w:tr w:rsidR="008050A4">
        <w:trPr>
          <w:jc w:val="center"/>
        </w:trPr>
        <w:tc>
          <w:tcPr>
            <w:tcW w:w="9576" w:type="dxa"/>
          </w:tcPr>
          <w:p w:rsidR="008050A4" w:rsidRDefault="00871191" w:rsidP="00A952C8">
            <w:pPr>
              <w:pStyle w:val="DocumentTitle"/>
              <w:ind w:left="0"/>
            </w:pPr>
            <w:r>
              <w:t xml:space="preserve">DEFENDANT JEFFREY BURUM’S </w:t>
            </w:r>
            <w:r w:rsidR="00A952C8">
              <w:t>MOTION TO DISMISS FOR DESTRUCTION OF EXCULPATORY EVIDENCE IN THE ATTORNEY GENERAL’S POSSESSION</w:t>
            </w:r>
          </w:p>
        </w:tc>
      </w:tr>
    </w:tbl>
    <w:tbl>
      <w:tblPr>
        <w:tblpPr w:leftFromText="180" w:rightFromText="180" w:vertAnchor="text" w:tblpY="1"/>
        <w:tblOverlap w:val="never"/>
        <w:tblW w:w="5000" w:type="pct"/>
        <w:tblLook w:val="0000" w:firstRow="0" w:lastRow="0" w:firstColumn="0" w:lastColumn="0" w:noHBand="0" w:noVBand="0"/>
      </w:tblPr>
      <w:tblGrid>
        <w:gridCol w:w="960"/>
        <w:gridCol w:w="8472"/>
      </w:tblGrid>
      <w:tr w:rsidR="008050A4">
        <w:tc>
          <w:tcPr>
            <w:tcW w:w="509" w:type="pct"/>
          </w:tcPr>
          <w:bookmarkEnd w:id="26"/>
          <w:p w:rsidR="008050A4" w:rsidRDefault="000B23AD">
            <w:pPr>
              <w:ind w:firstLine="360"/>
              <w:rPr>
                <w:b/>
                <w:bCs/>
              </w:rPr>
            </w:pPr>
            <w:r>
              <w:rPr>
                <w:b/>
                <w:bCs/>
              </w:rPr>
              <w:sym w:font="Wingdings" w:char="F071"/>
            </w:r>
          </w:p>
        </w:tc>
        <w:tc>
          <w:tcPr>
            <w:tcW w:w="4491" w:type="pct"/>
          </w:tcPr>
          <w:p w:rsidR="008050A4" w:rsidRDefault="000B23AD">
            <w:pPr>
              <w:spacing w:after="240"/>
            </w:pPr>
            <w:r>
              <w:t>(BY FAX)  I transmitted via facsimile, from facsimile number (213) 629-7401, the document(s) to the person(s) on the attached service list at the fax number(s) set forth therein, on this date before 5:00 p.m.  A statement that this document was successfully transmitted without error.</w:t>
            </w:r>
          </w:p>
        </w:tc>
      </w:tr>
      <w:tr w:rsidR="008050A4">
        <w:tc>
          <w:tcPr>
            <w:tcW w:w="509" w:type="pct"/>
          </w:tcPr>
          <w:p w:rsidR="008050A4" w:rsidRDefault="000B23AD">
            <w:pPr>
              <w:ind w:firstLine="360"/>
              <w:rPr>
                <w:b/>
              </w:rPr>
            </w:pPr>
            <w:r>
              <w:rPr>
                <w:b/>
                <w:bCs/>
              </w:rPr>
              <w:sym w:font="Wingdings" w:char="F071"/>
            </w:r>
          </w:p>
        </w:tc>
        <w:tc>
          <w:tcPr>
            <w:tcW w:w="4491" w:type="pct"/>
          </w:tcPr>
          <w:p w:rsidR="008050A4" w:rsidRDefault="000B23AD">
            <w:pPr>
              <w:spacing w:after="240"/>
            </w:pPr>
            <w:r>
              <w:t>(BY PERSONAL SERVICE)  On this date, I caused the above documents to be delivered by hand delivery to the person(s) on the attached service list.</w:t>
            </w:r>
          </w:p>
        </w:tc>
      </w:tr>
      <w:tr w:rsidR="008050A4">
        <w:tc>
          <w:tcPr>
            <w:tcW w:w="509" w:type="pct"/>
          </w:tcPr>
          <w:p w:rsidR="008050A4" w:rsidRDefault="00D7694F">
            <w:pPr>
              <w:ind w:firstLine="360"/>
              <w:rPr>
                <w:b/>
              </w:rPr>
            </w:pPr>
            <w:r>
              <w:rPr>
                <w:b/>
                <w:bCs/>
              </w:rPr>
              <w:sym w:font="Wingdings" w:char="F071"/>
            </w:r>
          </w:p>
        </w:tc>
        <w:tc>
          <w:tcPr>
            <w:tcW w:w="4491" w:type="pct"/>
          </w:tcPr>
          <w:p w:rsidR="008050A4" w:rsidRDefault="000B23AD">
            <w:pPr>
              <w:pStyle w:val="Header"/>
              <w:tabs>
                <w:tab w:val="clear" w:pos="9360"/>
              </w:tabs>
              <w:spacing w:after="240"/>
            </w:pPr>
            <w:r>
              <w:rPr>
                <w:b/>
              </w:rPr>
              <w:t>(</w:t>
            </w:r>
            <w:r>
              <w:t>BY MAIL</w:t>
            </w:r>
            <w:r>
              <w:rPr>
                <w:b/>
              </w:rPr>
              <w:t>)</w:t>
            </w:r>
            <w:r>
              <w:t xml:space="preserve">  I am readily familiar with my employer’s business practice for collection and processing of correspondence for mailing with the U.S. Postal Service, and that practice is that correspondence is deposited with the U.S. Postal Service the same day as the day of collection in the ordinary course of business.  On this date, I placed the document(s) in envelopes addressed to the person(s) on the attached service list and sealed and placed the envelopes for collection and mailing following ordinary business practices.</w:t>
            </w:r>
          </w:p>
        </w:tc>
      </w:tr>
      <w:tr w:rsidR="008050A4">
        <w:tc>
          <w:tcPr>
            <w:tcW w:w="509" w:type="pct"/>
          </w:tcPr>
          <w:p w:rsidR="008050A4" w:rsidRDefault="000B23AD">
            <w:pPr>
              <w:ind w:firstLine="360"/>
              <w:rPr>
                <w:b/>
              </w:rPr>
            </w:pPr>
            <w:r>
              <w:rPr>
                <w:b/>
                <w:bCs/>
              </w:rPr>
              <w:sym w:font="Wingdings" w:char="F071"/>
            </w:r>
          </w:p>
        </w:tc>
        <w:tc>
          <w:tcPr>
            <w:tcW w:w="4491" w:type="pct"/>
          </w:tcPr>
          <w:p w:rsidR="008050A4" w:rsidRDefault="000B23AD">
            <w:pPr>
              <w:spacing w:after="240"/>
            </w:pPr>
            <w:r>
              <w:t>(BY OVERNIGHT DELIVERY)  On this date, I placed the documents in envelope(s) addressed to the person(s) on the attached service list, and caused those envelopes to be delivered to an overnight delivery carrier, with delivery fees provided for, for next-business-day delivery to whom it is to be served.</w:t>
            </w:r>
          </w:p>
        </w:tc>
      </w:tr>
      <w:tr w:rsidR="008050A4">
        <w:tc>
          <w:tcPr>
            <w:tcW w:w="509" w:type="pct"/>
          </w:tcPr>
          <w:p w:rsidR="008050A4" w:rsidRDefault="000B23AD">
            <w:pPr>
              <w:ind w:firstLine="360"/>
              <w:rPr>
                <w:b/>
              </w:rPr>
            </w:pPr>
            <w:r>
              <w:rPr>
                <w:b/>
                <w:bCs/>
              </w:rPr>
              <w:sym w:font="Wingdings" w:char="F078"/>
            </w:r>
          </w:p>
        </w:tc>
        <w:tc>
          <w:tcPr>
            <w:tcW w:w="4491" w:type="pct"/>
          </w:tcPr>
          <w:p w:rsidR="008050A4" w:rsidRDefault="000B23AD">
            <w:pPr>
              <w:spacing w:after="240"/>
            </w:pPr>
            <w:r>
              <w:t>(BY E-MAIL)  On this date, I caused the above document to be delivered electronically to the e-mail address(es) of the person(s) on the attached service list.</w:t>
            </w:r>
          </w:p>
        </w:tc>
      </w:tr>
    </w:tbl>
    <w:p w:rsidR="008050A4" w:rsidRDefault="008050A4"/>
    <w:p w:rsidR="008050A4" w:rsidRDefault="000B23AD">
      <w:pPr>
        <w:jc w:val="center"/>
        <w:rPr>
          <w:b/>
        </w:rPr>
      </w:pPr>
      <w:r>
        <w:rPr>
          <w:b/>
        </w:rPr>
        <w:t>SEE ATTACHED SERVICE LIST</w:t>
      </w:r>
    </w:p>
    <w:p w:rsidR="008050A4" w:rsidRDefault="008050A4">
      <w:pPr>
        <w:ind w:firstLine="720"/>
        <w:outlineLvl w:val="0"/>
      </w:pPr>
    </w:p>
    <w:p w:rsidR="008050A4" w:rsidRDefault="000B23AD">
      <w:pPr>
        <w:ind w:firstLine="720"/>
        <w:outlineLvl w:val="0"/>
      </w:pPr>
      <w:r>
        <w:t xml:space="preserve">I declare under penalty of perjury under the laws of the State of California that the foregoing is true and correct.  </w:t>
      </w:r>
    </w:p>
    <w:p w:rsidR="008050A4" w:rsidRDefault="008050A4">
      <w:pPr>
        <w:ind w:firstLine="720"/>
        <w:outlineLvl w:val="0"/>
        <w:rPr>
          <w:sz w:val="22"/>
          <w:szCs w:val="22"/>
        </w:rPr>
      </w:pPr>
    </w:p>
    <w:p w:rsidR="008050A4" w:rsidRDefault="000B23AD">
      <w:pPr>
        <w:ind w:firstLine="720"/>
        <w:outlineLvl w:val="0"/>
      </w:pPr>
      <w:r>
        <w:t xml:space="preserve">Executed on </w:t>
      </w:r>
      <w:r w:rsidR="00A952C8">
        <w:t>_________</w:t>
      </w:r>
      <w:r>
        <w:t>, 201</w:t>
      </w:r>
      <w:r w:rsidR="00D7694F">
        <w:t>6</w:t>
      </w:r>
      <w:r>
        <w:rPr>
          <w:b/>
        </w:rPr>
        <w:t xml:space="preserve"> </w:t>
      </w:r>
      <w:r>
        <w:t>in Los Angeles, California.</w:t>
      </w:r>
    </w:p>
    <w:p w:rsidR="008050A4" w:rsidRDefault="008050A4">
      <w:pPr>
        <w:ind w:firstLine="720"/>
        <w:outlineLvl w:val="0"/>
      </w:pPr>
    </w:p>
    <w:p w:rsidR="008050A4" w:rsidRDefault="008050A4">
      <w:pPr>
        <w:ind w:firstLine="720"/>
      </w:pPr>
    </w:p>
    <w:p w:rsidR="008050A4" w:rsidRDefault="008050A4">
      <w:pPr>
        <w:ind w:firstLine="720"/>
      </w:pPr>
    </w:p>
    <w:p w:rsidR="008050A4" w:rsidRDefault="000B23AD">
      <w:pPr>
        <w:ind w:firstLine="720"/>
      </w:pPr>
      <w:r>
        <w:lastRenderedPageBreak/>
        <w:tab/>
      </w:r>
      <w:r>
        <w:tab/>
      </w:r>
      <w:r>
        <w:tab/>
      </w:r>
      <w:r>
        <w:tab/>
      </w:r>
      <w:r>
        <w:tab/>
      </w:r>
      <w:r>
        <w:tab/>
      </w:r>
      <w:r>
        <w:rPr>
          <w:u w:val="single"/>
        </w:rPr>
        <w:tab/>
      </w:r>
      <w:r>
        <w:rPr>
          <w:u w:val="single"/>
        </w:rPr>
        <w:tab/>
      </w:r>
      <w:r>
        <w:rPr>
          <w:u w:val="single"/>
        </w:rPr>
        <w:tab/>
      </w:r>
      <w:r>
        <w:rPr>
          <w:u w:val="single"/>
        </w:rPr>
        <w:tab/>
      </w:r>
      <w:r>
        <w:rPr>
          <w:u w:val="single"/>
        </w:rPr>
        <w:tab/>
      </w:r>
      <w:r>
        <w:tab/>
      </w:r>
    </w:p>
    <w:p w:rsidR="008050A4" w:rsidRDefault="000B23AD">
      <w:pPr>
        <w:outlineLvl w:val="0"/>
      </w:pPr>
      <w:r>
        <w:tab/>
      </w:r>
      <w:r>
        <w:tab/>
      </w:r>
      <w:r>
        <w:tab/>
      </w:r>
      <w:r>
        <w:tab/>
      </w:r>
      <w:r>
        <w:tab/>
      </w:r>
      <w:r>
        <w:tab/>
      </w:r>
      <w:r>
        <w:tab/>
      </w:r>
      <w:r>
        <w:tab/>
      </w:r>
      <w:r w:rsidR="003C2422">
        <w:t>Yvonne Gutierrez</w:t>
      </w:r>
    </w:p>
    <w:p w:rsidR="008050A4" w:rsidRDefault="000B23AD">
      <w:pPr>
        <w:jc w:val="center"/>
        <w:rPr>
          <w:i/>
        </w:rPr>
      </w:pPr>
      <w:r>
        <w:br w:type="page"/>
      </w:r>
      <w:r>
        <w:rPr>
          <w:i/>
        </w:rPr>
        <w:lastRenderedPageBreak/>
        <w:t xml:space="preserve">People v. Biane, et al </w:t>
      </w:r>
    </w:p>
    <w:p w:rsidR="008050A4" w:rsidRDefault="000B23AD">
      <w:pPr>
        <w:jc w:val="center"/>
        <w:outlineLvl w:val="0"/>
      </w:pPr>
      <w:r>
        <w:t>San Bernardino Superior Case No. FSB 1102102</w:t>
      </w:r>
    </w:p>
    <w:p w:rsidR="008050A4" w:rsidRDefault="008050A4">
      <w:pPr>
        <w:jc w:val="center"/>
        <w:outlineLvl w:val="0"/>
        <w:rPr>
          <w:b/>
        </w:rPr>
      </w:pPr>
    </w:p>
    <w:p w:rsidR="008050A4" w:rsidRDefault="000B23AD">
      <w:pPr>
        <w:jc w:val="center"/>
        <w:outlineLvl w:val="0"/>
        <w:rPr>
          <w:b/>
          <w:u w:val="single"/>
        </w:rPr>
      </w:pPr>
      <w:r>
        <w:rPr>
          <w:b/>
          <w:u w:val="single"/>
        </w:rPr>
        <w:t>SERVICE LIST</w:t>
      </w:r>
    </w:p>
    <w:p w:rsidR="008050A4" w:rsidRDefault="008050A4">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5"/>
        <w:gridCol w:w="4667"/>
      </w:tblGrid>
      <w:tr w:rsidR="001E2383" w:rsidTr="00310F1F">
        <w:trPr>
          <w:trHeight w:val="2427"/>
        </w:trPr>
        <w:tc>
          <w:tcPr>
            <w:tcW w:w="4824" w:type="dxa"/>
          </w:tcPr>
          <w:p w:rsidR="001E2383" w:rsidRDefault="001E2383" w:rsidP="00310F1F">
            <w:pPr>
              <w:pStyle w:val="BodyText"/>
              <w:spacing w:line="240" w:lineRule="exact"/>
              <w:ind w:firstLine="0"/>
            </w:pPr>
            <w:r>
              <w:t>Deputy D.A. Richard Lewis Cope</w:t>
            </w:r>
          </w:p>
          <w:p w:rsidR="001E2383" w:rsidRDefault="001E2383" w:rsidP="00310F1F">
            <w:pPr>
              <w:pStyle w:val="BodyText"/>
              <w:spacing w:line="240" w:lineRule="exact"/>
              <w:ind w:firstLine="0"/>
            </w:pPr>
            <w:r>
              <w:t>SAN BERNARDINO COUNTY</w:t>
            </w:r>
            <w:r>
              <w:br/>
              <w:t>DISTRICT ATTORNEY</w:t>
            </w:r>
          </w:p>
          <w:p w:rsidR="001E2383" w:rsidRDefault="001E2383" w:rsidP="00310F1F">
            <w:pPr>
              <w:pStyle w:val="BodyText"/>
              <w:spacing w:line="240" w:lineRule="exact"/>
              <w:ind w:firstLine="0"/>
            </w:pPr>
            <w:r>
              <w:t>303 W. 3</w:t>
            </w:r>
            <w:r>
              <w:rPr>
                <w:vertAlign w:val="superscript"/>
              </w:rPr>
              <w:t>rd</w:t>
            </w:r>
            <w:r>
              <w:t xml:space="preserve"> Street, 5</w:t>
            </w:r>
            <w:r>
              <w:rPr>
                <w:vertAlign w:val="superscript"/>
              </w:rPr>
              <w:t>th</w:t>
            </w:r>
            <w:r>
              <w:t xml:space="preserve"> Floor</w:t>
            </w:r>
          </w:p>
          <w:p w:rsidR="001E2383" w:rsidRDefault="001E2383" w:rsidP="00310F1F">
            <w:pPr>
              <w:pStyle w:val="BodyText"/>
              <w:spacing w:line="240" w:lineRule="exact"/>
              <w:ind w:firstLine="0"/>
            </w:pPr>
            <w:r>
              <w:t>San Bernardino, CA   92415-0511</w:t>
            </w:r>
          </w:p>
          <w:p w:rsidR="001E2383" w:rsidRDefault="001E2383" w:rsidP="00310F1F">
            <w:pPr>
              <w:pStyle w:val="BodyText"/>
              <w:spacing w:line="240" w:lineRule="exact"/>
              <w:ind w:firstLine="0"/>
            </w:pPr>
          </w:p>
          <w:p w:rsidR="001E2383" w:rsidRDefault="001E2383" w:rsidP="00310F1F">
            <w:pPr>
              <w:pStyle w:val="BodyText"/>
              <w:spacing w:line="240" w:lineRule="exact"/>
              <w:ind w:firstLine="0"/>
            </w:pPr>
            <w:r>
              <w:t>(909) 382-7609</w:t>
            </w:r>
          </w:p>
          <w:p w:rsidR="001E2383" w:rsidRDefault="001E2383" w:rsidP="00310F1F">
            <w:pPr>
              <w:pStyle w:val="BodyText"/>
              <w:spacing w:line="240" w:lineRule="exact"/>
              <w:ind w:firstLine="0"/>
            </w:pPr>
            <w:r>
              <w:t>(909) 382-7677</w:t>
            </w:r>
            <w:bookmarkStart w:id="29" w:name="Verdatum"/>
            <w:bookmarkEnd w:id="29"/>
            <w:r>
              <w:t xml:space="preserve"> fax</w:t>
            </w:r>
          </w:p>
          <w:p w:rsidR="001E2383" w:rsidRDefault="00B902AB" w:rsidP="00310F1F">
            <w:pPr>
              <w:pStyle w:val="BodyText"/>
              <w:spacing w:line="240" w:lineRule="exact"/>
              <w:ind w:firstLine="0"/>
            </w:pPr>
            <w:hyperlink r:id="rId13" w:history="1">
              <w:r w:rsidR="001E2383">
                <w:rPr>
                  <w:rStyle w:val="Hyperlink"/>
                </w:rPr>
                <w:t>rcope@sbcda.org</w:t>
              </w:r>
            </w:hyperlink>
            <w:r w:rsidR="001E2383">
              <w:t xml:space="preserve"> </w:t>
            </w:r>
          </w:p>
          <w:p w:rsidR="001E2383" w:rsidRDefault="001E2383" w:rsidP="00310F1F">
            <w:pPr>
              <w:pStyle w:val="BodyText"/>
              <w:spacing w:before="120" w:line="240" w:lineRule="exact"/>
              <w:ind w:firstLine="0"/>
            </w:pPr>
          </w:p>
        </w:tc>
        <w:tc>
          <w:tcPr>
            <w:tcW w:w="4824" w:type="dxa"/>
          </w:tcPr>
          <w:p w:rsidR="001E2383" w:rsidRDefault="001E2383" w:rsidP="00310F1F">
            <w:pPr>
              <w:pStyle w:val="BodyText"/>
              <w:spacing w:line="240" w:lineRule="exact"/>
              <w:ind w:firstLine="0"/>
            </w:pPr>
            <w:r>
              <w:t>Counsel for Plaintiff THE PEOPLE OF THE STATE OF CALIFORNIA</w:t>
            </w:r>
          </w:p>
          <w:p w:rsidR="001E2383" w:rsidRDefault="001E2383" w:rsidP="00310F1F">
            <w:pPr>
              <w:pStyle w:val="BodyText"/>
              <w:spacing w:before="120" w:line="240" w:lineRule="exact"/>
              <w:ind w:firstLine="0"/>
            </w:pPr>
          </w:p>
        </w:tc>
      </w:tr>
      <w:tr w:rsidR="001E2383" w:rsidTr="00310F1F">
        <w:tc>
          <w:tcPr>
            <w:tcW w:w="4824" w:type="dxa"/>
          </w:tcPr>
          <w:p w:rsidR="001E2383" w:rsidRDefault="001E2383" w:rsidP="00310F1F">
            <w:pPr>
              <w:pStyle w:val="BodyText"/>
              <w:spacing w:line="240" w:lineRule="exact"/>
              <w:ind w:firstLine="0"/>
            </w:pPr>
            <w:r>
              <w:t>Melissa Anne Mandel</w:t>
            </w:r>
          </w:p>
          <w:p w:rsidR="001E2383" w:rsidRDefault="001E2383" w:rsidP="00310F1F">
            <w:pPr>
              <w:pStyle w:val="BodyText"/>
              <w:spacing w:line="240" w:lineRule="exact"/>
              <w:ind w:firstLine="0"/>
            </w:pPr>
            <w:r>
              <w:t>OFFICE OF THE ATTORNEY GENERAL</w:t>
            </w:r>
            <w:r>
              <w:br/>
              <w:t>110 W "A" St., 14</w:t>
            </w:r>
            <w:r>
              <w:rPr>
                <w:vertAlign w:val="superscript"/>
              </w:rPr>
              <w:t>th</w:t>
            </w:r>
            <w:r>
              <w:t xml:space="preserve"> Floor</w:t>
            </w:r>
            <w:r>
              <w:br/>
              <w:t>San Diego, CA 92101</w:t>
            </w:r>
          </w:p>
          <w:p w:rsidR="001E2383" w:rsidRDefault="001E2383" w:rsidP="00310F1F">
            <w:pPr>
              <w:pStyle w:val="BodyText"/>
              <w:spacing w:line="240" w:lineRule="exact"/>
              <w:ind w:firstLine="0"/>
            </w:pPr>
          </w:p>
          <w:p w:rsidR="001E2383" w:rsidRDefault="001E2383" w:rsidP="00310F1F">
            <w:pPr>
              <w:pStyle w:val="BodyText"/>
              <w:spacing w:line="240" w:lineRule="exact"/>
              <w:ind w:firstLine="0"/>
            </w:pPr>
            <w:r>
              <w:t>(619) 645-2224</w:t>
            </w:r>
          </w:p>
          <w:p w:rsidR="001E2383" w:rsidRDefault="001E2383" w:rsidP="00310F1F">
            <w:pPr>
              <w:pStyle w:val="BodyText"/>
              <w:spacing w:line="240" w:lineRule="exact"/>
              <w:ind w:firstLine="0"/>
            </w:pPr>
            <w:r>
              <w:t>(619) 645-2191 fax</w:t>
            </w:r>
          </w:p>
          <w:p w:rsidR="001E2383" w:rsidRDefault="00B902AB" w:rsidP="00310F1F">
            <w:pPr>
              <w:pStyle w:val="BodyText"/>
              <w:spacing w:line="240" w:lineRule="exact"/>
              <w:ind w:firstLine="0"/>
            </w:pPr>
            <w:hyperlink r:id="rId14" w:history="1">
              <w:r w:rsidR="001E2383">
                <w:rPr>
                  <w:rStyle w:val="Hyperlink"/>
                </w:rPr>
                <w:t>melissa.mandel@doj.ca.gov</w:t>
              </w:r>
            </w:hyperlink>
          </w:p>
          <w:p w:rsidR="001E2383" w:rsidRDefault="001E2383" w:rsidP="00310F1F">
            <w:pPr>
              <w:pStyle w:val="BodyText"/>
              <w:spacing w:before="120" w:line="240" w:lineRule="exact"/>
              <w:ind w:firstLine="0"/>
            </w:pPr>
          </w:p>
        </w:tc>
        <w:tc>
          <w:tcPr>
            <w:tcW w:w="4824" w:type="dxa"/>
          </w:tcPr>
          <w:p w:rsidR="001E2383" w:rsidRDefault="001E2383" w:rsidP="00310F1F">
            <w:pPr>
              <w:pStyle w:val="BodyText"/>
              <w:spacing w:line="240" w:lineRule="exact"/>
              <w:ind w:firstLine="0"/>
            </w:pPr>
            <w:r>
              <w:t>Counsel for Plaintiff THE PEOPLE OF THE STATE OF CALIFORNIA</w:t>
            </w:r>
          </w:p>
          <w:p w:rsidR="001E2383" w:rsidRDefault="001E2383" w:rsidP="00310F1F">
            <w:pPr>
              <w:pStyle w:val="BodyText"/>
              <w:spacing w:before="120" w:line="240" w:lineRule="exact"/>
              <w:ind w:firstLine="0"/>
            </w:pPr>
          </w:p>
        </w:tc>
      </w:tr>
      <w:tr w:rsidR="001E2383" w:rsidTr="00310F1F">
        <w:trPr>
          <w:trHeight w:val="2454"/>
        </w:trPr>
        <w:tc>
          <w:tcPr>
            <w:tcW w:w="4824" w:type="dxa"/>
          </w:tcPr>
          <w:p w:rsidR="001E2383" w:rsidRDefault="001E2383" w:rsidP="00310F1F">
            <w:pPr>
              <w:pStyle w:val="BodyText"/>
              <w:spacing w:line="240" w:lineRule="exact"/>
              <w:ind w:firstLine="0"/>
            </w:pPr>
            <w:r>
              <w:t>Mark Raymond McDonald</w:t>
            </w:r>
          </w:p>
          <w:p w:rsidR="001E2383" w:rsidRDefault="001E2383" w:rsidP="00310F1F">
            <w:pPr>
              <w:pStyle w:val="BodyText"/>
              <w:spacing w:line="240" w:lineRule="exact"/>
              <w:ind w:firstLine="0"/>
            </w:pPr>
            <w:r>
              <w:t>LAW OFFICE OF MARK RAYMOND MCDONALD</w:t>
            </w:r>
          </w:p>
          <w:p w:rsidR="001E2383" w:rsidRDefault="001E2383" w:rsidP="00310F1F">
            <w:pPr>
              <w:pStyle w:val="BodyText"/>
              <w:spacing w:line="240" w:lineRule="exact"/>
              <w:ind w:firstLine="0"/>
            </w:pPr>
            <w:r>
              <w:t>165 W. Hospitality Lane, Suite 28</w:t>
            </w:r>
          </w:p>
          <w:p w:rsidR="001E2383" w:rsidRDefault="001E2383" w:rsidP="00310F1F">
            <w:pPr>
              <w:pStyle w:val="BodyText"/>
              <w:spacing w:line="240" w:lineRule="exact"/>
              <w:ind w:firstLine="0"/>
            </w:pPr>
            <w:r>
              <w:t>San Bernardino, CA  92408</w:t>
            </w:r>
          </w:p>
          <w:p w:rsidR="001E2383" w:rsidRDefault="001E2383" w:rsidP="00310F1F">
            <w:pPr>
              <w:pStyle w:val="BodyText"/>
              <w:spacing w:line="240" w:lineRule="exact"/>
              <w:ind w:firstLine="0"/>
            </w:pPr>
          </w:p>
          <w:p w:rsidR="001E2383" w:rsidRDefault="001E2383" w:rsidP="00310F1F">
            <w:pPr>
              <w:pStyle w:val="BodyText"/>
              <w:spacing w:line="240" w:lineRule="exact"/>
              <w:ind w:firstLine="0"/>
            </w:pPr>
            <w:r>
              <w:t>(909) 890-3500</w:t>
            </w:r>
          </w:p>
          <w:p w:rsidR="001E2383" w:rsidRDefault="001E2383" w:rsidP="00310F1F">
            <w:pPr>
              <w:pStyle w:val="BodyText"/>
              <w:spacing w:line="240" w:lineRule="exact"/>
              <w:ind w:firstLine="0"/>
            </w:pPr>
            <w:r>
              <w:t>(909) 890-3501 fax</w:t>
            </w:r>
          </w:p>
          <w:p w:rsidR="001E2383" w:rsidRDefault="00B902AB" w:rsidP="00310F1F">
            <w:pPr>
              <w:pStyle w:val="BodyText"/>
              <w:spacing w:line="240" w:lineRule="exact"/>
              <w:ind w:firstLine="0"/>
            </w:pPr>
            <w:hyperlink r:id="rId15" w:history="1">
              <w:r w:rsidR="001E2383">
                <w:rPr>
                  <w:rStyle w:val="Hyperlink"/>
                </w:rPr>
                <w:t>mraymondmcdonald@gmail.com</w:t>
              </w:r>
            </w:hyperlink>
          </w:p>
          <w:p w:rsidR="001E2383" w:rsidRDefault="001E2383" w:rsidP="00310F1F">
            <w:pPr>
              <w:pStyle w:val="BodyText"/>
              <w:spacing w:before="120" w:line="240" w:lineRule="exact"/>
              <w:ind w:firstLine="0"/>
            </w:pPr>
          </w:p>
        </w:tc>
        <w:tc>
          <w:tcPr>
            <w:tcW w:w="4824" w:type="dxa"/>
          </w:tcPr>
          <w:p w:rsidR="001E2383" w:rsidRDefault="001E2383" w:rsidP="00310F1F">
            <w:pPr>
              <w:pStyle w:val="BodyText"/>
              <w:spacing w:line="240" w:lineRule="exact"/>
              <w:ind w:firstLine="0"/>
            </w:pPr>
            <w:r>
              <w:t>Counsel for Defendant PAUL BIANE</w:t>
            </w:r>
          </w:p>
        </w:tc>
      </w:tr>
      <w:tr w:rsidR="001E2383" w:rsidTr="00310F1F">
        <w:trPr>
          <w:trHeight w:val="2247"/>
        </w:trPr>
        <w:tc>
          <w:tcPr>
            <w:tcW w:w="4824" w:type="dxa"/>
          </w:tcPr>
          <w:p w:rsidR="001E2383" w:rsidRDefault="003C2422" w:rsidP="00310F1F">
            <w:r w:rsidRPr="003C2422">
              <w:rPr>
                <w:highlight w:val="yellow"/>
              </w:rPr>
              <w:t>UPDATE</w:t>
            </w:r>
          </w:p>
          <w:p w:rsidR="001E2383" w:rsidRDefault="001E2383" w:rsidP="00310F1F">
            <w:pPr>
              <w:autoSpaceDE w:val="0"/>
              <w:autoSpaceDN w:val="0"/>
              <w:adjustRightInd w:val="0"/>
            </w:pPr>
          </w:p>
        </w:tc>
        <w:tc>
          <w:tcPr>
            <w:tcW w:w="4824" w:type="dxa"/>
          </w:tcPr>
          <w:p w:rsidR="001E2383" w:rsidRDefault="001E2383" w:rsidP="00310F1F">
            <w:pPr>
              <w:pStyle w:val="BodyText"/>
              <w:spacing w:line="240" w:lineRule="exact"/>
              <w:ind w:firstLine="0"/>
            </w:pPr>
            <w:r>
              <w:t>Counsel for Defendant MARK KIRK</w:t>
            </w:r>
          </w:p>
        </w:tc>
      </w:tr>
      <w:tr w:rsidR="001E2383" w:rsidTr="00310F1F">
        <w:trPr>
          <w:cantSplit/>
          <w:trHeight w:val="2319"/>
        </w:trPr>
        <w:tc>
          <w:tcPr>
            <w:tcW w:w="4824" w:type="dxa"/>
          </w:tcPr>
          <w:p w:rsidR="001E2383" w:rsidRDefault="001E2383" w:rsidP="00310F1F">
            <w:pPr>
              <w:rPr>
                <w:bCs/>
              </w:rPr>
            </w:pPr>
            <w:r>
              <w:rPr>
                <w:bCs/>
              </w:rPr>
              <w:t xml:space="preserve">Rajan Maline </w:t>
            </w:r>
          </w:p>
          <w:p w:rsidR="001E2383" w:rsidRDefault="001E2383" w:rsidP="00310F1F">
            <w:pPr>
              <w:rPr>
                <w:bCs/>
              </w:rPr>
            </w:pPr>
            <w:r>
              <w:rPr>
                <w:bCs/>
              </w:rPr>
              <w:t>LAW OFFICE OF RAJAN MALINE</w:t>
            </w:r>
          </w:p>
          <w:p w:rsidR="001E2383" w:rsidRDefault="001E2383" w:rsidP="00310F1F">
            <w:pPr>
              <w:rPr>
                <w:bCs/>
              </w:rPr>
            </w:pPr>
            <w:r>
              <w:rPr>
                <w:bCs/>
              </w:rPr>
              <w:t>3750 University Ave., #680</w:t>
            </w:r>
          </w:p>
          <w:p w:rsidR="001E2383" w:rsidRDefault="001E2383" w:rsidP="00310F1F">
            <w:pPr>
              <w:rPr>
                <w:bCs/>
              </w:rPr>
            </w:pPr>
            <w:r>
              <w:rPr>
                <w:bCs/>
              </w:rPr>
              <w:t>Riverside, CA  92501</w:t>
            </w:r>
          </w:p>
          <w:p w:rsidR="001E2383" w:rsidRDefault="001E2383" w:rsidP="00310F1F">
            <w:pPr>
              <w:pStyle w:val="BodyText"/>
              <w:spacing w:line="240" w:lineRule="exact"/>
              <w:ind w:firstLine="0"/>
            </w:pPr>
          </w:p>
          <w:p w:rsidR="001E2383" w:rsidRDefault="001E2383" w:rsidP="00310F1F">
            <w:pPr>
              <w:pStyle w:val="BodyText"/>
              <w:spacing w:line="240" w:lineRule="exact"/>
              <w:ind w:firstLine="0"/>
            </w:pPr>
            <w:r>
              <w:t>(951) 779-0221</w:t>
            </w:r>
          </w:p>
          <w:p w:rsidR="001E2383" w:rsidRDefault="001E2383" w:rsidP="00310F1F">
            <w:pPr>
              <w:pStyle w:val="BodyText"/>
              <w:spacing w:line="240" w:lineRule="exact"/>
              <w:ind w:firstLine="0"/>
            </w:pPr>
            <w:r>
              <w:t>(951) 779-0229 fax</w:t>
            </w:r>
          </w:p>
          <w:p w:rsidR="001E2383" w:rsidRDefault="00B902AB" w:rsidP="00310F1F">
            <w:pPr>
              <w:pStyle w:val="BodyText"/>
              <w:spacing w:line="240" w:lineRule="exact"/>
              <w:ind w:firstLine="0"/>
            </w:pPr>
            <w:hyperlink r:id="rId16" w:history="1">
              <w:r w:rsidR="001E2383">
                <w:rPr>
                  <w:rStyle w:val="Hyperlink"/>
                </w:rPr>
                <w:t>rajmaline@aol.com</w:t>
              </w:r>
            </w:hyperlink>
          </w:p>
          <w:p w:rsidR="001E2383" w:rsidRDefault="001E2383" w:rsidP="00310F1F">
            <w:pPr>
              <w:pStyle w:val="BodyText"/>
              <w:spacing w:line="240" w:lineRule="exact"/>
              <w:ind w:firstLine="0"/>
            </w:pPr>
          </w:p>
        </w:tc>
        <w:tc>
          <w:tcPr>
            <w:tcW w:w="4824" w:type="dxa"/>
          </w:tcPr>
          <w:p w:rsidR="001E2383" w:rsidRDefault="001E2383" w:rsidP="00310F1F">
            <w:r>
              <w:t xml:space="preserve">Counsel for Defendant JAMES ERWIN </w:t>
            </w:r>
          </w:p>
          <w:p w:rsidR="001E2383" w:rsidRDefault="001E2383" w:rsidP="00310F1F"/>
        </w:tc>
      </w:tr>
    </w:tbl>
    <w:p w:rsidR="008050A4" w:rsidRDefault="008050A4"/>
    <w:sectPr w:rsidR="008050A4">
      <w:headerReference w:type="default" r:id="rId17"/>
      <w:footerReference w:type="default" r:id="rId18"/>
      <w:headerReference w:type="first" r:id="rId19"/>
      <w:footerReference w:type="first" r:id="rId20"/>
      <w:pgSz w:w="12240" w:h="15840" w:code="1"/>
      <w:pgMar w:top="-1325" w:right="720" w:bottom="-1080" w:left="2088" w:header="432" w:footer="360" w:gutter="0"/>
      <w:paperSrc w:first="15" w:other="15"/>
      <w:pgNumType w:start="1"/>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56B3" w:rsidRDefault="005956B3">
      <w:pPr>
        <w:spacing w:line="240" w:lineRule="auto"/>
      </w:pPr>
      <w:r>
        <w:separator/>
      </w:r>
    </w:p>
  </w:endnote>
  <w:endnote w:type="continuationSeparator" w:id="0">
    <w:p w:rsidR="005956B3" w:rsidRDefault="005956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032"/>
      <w:gridCol w:w="1555"/>
      <w:gridCol w:w="4032"/>
    </w:tblGrid>
    <w:tr w:rsidR="00BB7D7D">
      <w:trPr>
        <w:cantSplit/>
        <w:trHeight w:val="320"/>
      </w:trPr>
      <w:tc>
        <w:tcPr>
          <w:tcW w:w="4032" w:type="dxa"/>
          <w:tcBorders>
            <w:bottom w:val="single" w:sz="4" w:space="0" w:color="auto"/>
          </w:tcBorders>
        </w:tcPr>
        <w:p w:rsidR="00BB7D7D" w:rsidRDefault="00BB7D7D"/>
      </w:tc>
      <w:tc>
        <w:tcPr>
          <w:tcW w:w="1555" w:type="dxa"/>
          <w:tcBorders>
            <w:bottom w:val="single" w:sz="4" w:space="0" w:color="auto"/>
          </w:tcBorders>
          <w:vAlign w:val="bottom"/>
        </w:tcPr>
        <w:p w:rsidR="00BB7D7D" w:rsidRDefault="00BB7D7D">
          <w:pPr>
            <w:jc w:val="center"/>
            <w:rPr>
              <w:rStyle w:val="PageNumber"/>
            </w:rPr>
          </w:pPr>
          <w:r>
            <w:rPr>
              <w:rStyle w:val="PageNumber"/>
            </w:rPr>
            <w:t xml:space="preserve">- </w:t>
          </w:r>
          <w:r>
            <w:rPr>
              <w:rStyle w:val="PageNumber"/>
            </w:rPr>
            <w:fldChar w:fldCharType="begin"/>
          </w:r>
          <w:r>
            <w:rPr>
              <w:rStyle w:val="PageNumber"/>
            </w:rPr>
            <w:instrText xml:space="preserve"> PAGE \* MERGEFORMAT </w:instrText>
          </w:r>
          <w:r>
            <w:rPr>
              <w:rStyle w:val="PageNumber"/>
            </w:rPr>
            <w:fldChar w:fldCharType="separate"/>
          </w:r>
          <w:r w:rsidR="00B902AB">
            <w:rPr>
              <w:rStyle w:val="PageNumber"/>
              <w:noProof/>
            </w:rPr>
            <w:t>10</w:t>
          </w:r>
          <w:r>
            <w:rPr>
              <w:rStyle w:val="PageNumber"/>
            </w:rPr>
            <w:fldChar w:fldCharType="end"/>
          </w:r>
          <w:r>
            <w:rPr>
              <w:rStyle w:val="PageNumber"/>
            </w:rPr>
            <w:t xml:space="preserve"> -</w:t>
          </w:r>
        </w:p>
      </w:tc>
      <w:tc>
        <w:tcPr>
          <w:tcW w:w="4032" w:type="dxa"/>
          <w:tcBorders>
            <w:bottom w:val="single" w:sz="4" w:space="0" w:color="auto"/>
          </w:tcBorders>
        </w:tcPr>
        <w:p w:rsidR="00BB7D7D" w:rsidRDefault="00BB7D7D"/>
      </w:tc>
    </w:tr>
    <w:tr w:rsidR="00BB7D7D">
      <w:trPr>
        <w:cantSplit/>
        <w:trHeight w:val="317"/>
      </w:trPr>
      <w:tc>
        <w:tcPr>
          <w:tcW w:w="9619" w:type="dxa"/>
          <w:gridSpan w:val="3"/>
          <w:vAlign w:val="center"/>
        </w:tcPr>
        <w:p w:rsidR="00BB7D7D" w:rsidRDefault="00BB7D7D" w:rsidP="00A952C8">
          <w:pPr>
            <w:pStyle w:val="FooterDocumentTitle"/>
          </w:pPr>
          <w:r>
            <w:t>DEFENDANT JEFFREY BURUM’S MOTION TO DISMISS FOR DESTRUCTION OF EXCULPATORY EVIDENCE IN THE ATTORNEY GENERAL’S POSSESSION</w:t>
          </w:r>
        </w:p>
      </w:tc>
    </w:tr>
  </w:tbl>
  <w:p w:rsidR="00BB7D7D" w:rsidRDefault="00BB7D7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19" w:type="dxa"/>
      <w:tblLayout w:type="fixed"/>
      <w:tblLook w:val="0000" w:firstRow="0" w:lastRow="0" w:firstColumn="0" w:lastColumn="0" w:noHBand="0" w:noVBand="0"/>
    </w:tblPr>
    <w:tblGrid>
      <w:gridCol w:w="4032"/>
      <w:gridCol w:w="1555"/>
      <w:gridCol w:w="4032"/>
    </w:tblGrid>
    <w:tr w:rsidR="00BB7D7D" w:rsidTr="00871191">
      <w:trPr>
        <w:cantSplit/>
        <w:trHeight w:val="320"/>
      </w:trPr>
      <w:tc>
        <w:tcPr>
          <w:tcW w:w="4032" w:type="dxa"/>
          <w:tcBorders>
            <w:bottom w:val="single" w:sz="4" w:space="0" w:color="auto"/>
          </w:tcBorders>
        </w:tcPr>
        <w:p w:rsidR="00BB7D7D" w:rsidRDefault="00BB7D7D"/>
      </w:tc>
      <w:tc>
        <w:tcPr>
          <w:tcW w:w="1555" w:type="dxa"/>
          <w:tcBorders>
            <w:bottom w:val="single" w:sz="4" w:space="0" w:color="auto"/>
          </w:tcBorders>
          <w:vAlign w:val="bottom"/>
        </w:tcPr>
        <w:p w:rsidR="00BB7D7D" w:rsidRDefault="00BB7D7D">
          <w:pPr>
            <w:jc w:val="center"/>
            <w:rPr>
              <w:rStyle w:val="PageNumber"/>
            </w:rPr>
          </w:pPr>
        </w:p>
      </w:tc>
      <w:tc>
        <w:tcPr>
          <w:tcW w:w="4032" w:type="dxa"/>
          <w:tcBorders>
            <w:bottom w:val="single" w:sz="4" w:space="0" w:color="auto"/>
          </w:tcBorders>
        </w:tcPr>
        <w:p w:rsidR="00BB7D7D" w:rsidRDefault="00BB7D7D"/>
      </w:tc>
    </w:tr>
    <w:tr w:rsidR="00BB7D7D" w:rsidTr="00871191">
      <w:trPr>
        <w:cantSplit/>
        <w:trHeight w:val="317"/>
      </w:trPr>
      <w:tc>
        <w:tcPr>
          <w:tcW w:w="9619" w:type="dxa"/>
          <w:gridSpan w:val="3"/>
          <w:vAlign w:val="center"/>
        </w:tcPr>
        <w:p w:rsidR="00BB7D7D" w:rsidRDefault="00BB7D7D" w:rsidP="00871191">
          <w:pPr>
            <w:pStyle w:val="FooterDocumentTitle"/>
          </w:pPr>
          <w:r>
            <w:t>DEFENDANT JEFFREY BURUM’S MOTION TO DISMISS FOR DESTRUCTION OF EXCULPATORY EVIDENCE IN THE ATTORNEY GENERAL’S POSSESSION</w:t>
          </w:r>
        </w:p>
      </w:tc>
    </w:tr>
  </w:tbl>
  <w:p w:rsidR="00BB7D7D" w:rsidRDefault="00BB7D7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19" w:type="dxa"/>
      <w:tblLayout w:type="fixed"/>
      <w:tblLook w:val="0000" w:firstRow="0" w:lastRow="0" w:firstColumn="0" w:lastColumn="0" w:noHBand="0" w:noVBand="0"/>
    </w:tblPr>
    <w:tblGrid>
      <w:gridCol w:w="4032"/>
      <w:gridCol w:w="1555"/>
      <w:gridCol w:w="4032"/>
    </w:tblGrid>
    <w:tr w:rsidR="00BB7D7D" w:rsidTr="000B23AD">
      <w:trPr>
        <w:cantSplit/>
        <w:trHeight w:val="320"/>
      </w:trPr>
      <w:tc>
        <w:tcPr>
          <w:tcW w:w="4032" w:type="dxa"/>
          <w:tcBorders>
            <w:bottom w:val="single" w:sz="4" w:space="0" w:color="auto"/>
          </w:tcBorders>
        </w:tcPr>
        <w:p w:rsidR="00BB7D7D" w:rsidRDefault="00BB7D7D"/>
      </w:tc>
      <w:tc>
        <w:tcPr>
          <w:tcW w:w="1555" w:type="dxa"/>
          <w:tcBorders>
            <w:bottom w:val="single" w:sz="4" w:space="0" w:color="auto"/>
          </w:tcBorders>
          <w:vAlign w:val="bottom"/>
        </w:tcPr>
        <w:p w:rsidR="00BB7D7D" w:rsidRDefault="00BB7D7D">
          <w:pPr>
            <w:jc w:val="center"/>
            <w:rPr>
              <w:rStyle w:val="PageNumber"/>
            </w:rPr>
          </w:pPr>
          <w:r>
            <w:rPr>
              <w:rStyle w:val="PageNumber"/>
            </w:rPr>
            <w:t xml:space="preserve">- </w:t>
          </w:r>
          <w:r>
            <w:rPr>
              <w:rStyle w:val="PageNumber"/>
            </w:rPr>
            <w:fldChar w:fldCharType="begin"/>
          </w:r>
          <w:r>
            <w:rPr>
              <w:rStyle w:val="PageNumber"/>
            </w:rPr>
            <w:instrText xml:space="preserve"> PAGE   \* MERGEFORMAT </w:instrText>
          </w:r>
          <w:r>
            <w:rPr>
              <w:rStyle w:val="PageNumber"/>
            </w:rPr>
            <w:fldChar w:fldCharType="separate"/>
          </w:r>
          <w:r w:rsidR="00B902AB">
            <w:rPr>
              <w:rStyle w:val="PageNumber"/>
              <w:noProof/>
            </w:rPr>
            <w:t>1</w:t>
          </w:r>
          <w:r>
            <w:rPr>
              <w:rStyle w:val="PageNumber"/>
            </w:rPr>
            <w:fldChar w:fldCharType="end"/>
          </w:r>
          <w:r>
            <w:rPr>
              <w:rStyle w:val="PageNumber"/>
            </w:rPr>
            <w:t xml:space="preserve"> -</w:t>
          </w:r>
        </w:p>
      </w:tc>
      <w:tc>
        <w:tcPr>
          <w:tcW w:w="4032" w:type="dxa"/>
          <w:tcBorders>
            <w:bottom w:val="single" w:sz="4" w:space="0" w:color="auto"/>
          </w:tcBorders>
        </w:tcPr>
        <w:p w:rsidR="00BB7D7D" w:rsidRDefault="00BB7D7D"/>
      </w:tc>
    </w:tr>
    <w:tr w:rsidR="00BB7D7D" w:rsidTr="000B23AD">
      <w:trPr>
        <w:cantSplit/>
        <w:trHeight w:val="317"/>
      </w:trPr>
      <w:tc>
        <w:tcPr>
          <w:tcW w:w="9619" w:type="dxa"/>
          <w:gridSpan w:val="3"/>
          <w:vAlign w:val="center"/>
        </w:tcPr>
        <w:p w:rsidR="00BB7D7D" w:rsidRDefault="00BB7D7D" w:rsidP="00871191">
          <w:pPr>
            <w:pStyle w:val="FooterDocumentTitle"/>
          </w:pPr>
          <w:r>
            <w:t> DEFENDANT JEFFREY BURUM’S MOTION TO DISMISS FOR DESTRUCTION OF EXCULPATORY EVIDENCE IN THE ATTORNEY GENERAL’S POSSESSION</w:t>
          </w:r>
        </w:p>
      </w:tc>
    </w:tr>
  </w:tbl>
  <w:p w:rsidR="00BB7D7D" w:rsidRDefault="00BB7D7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032"/>
      <w:gridCol w:w="1555"/>
      <w:gridCol w:w="4032"/>
    </w:tblGrid>
    <w:tr w:rsidR="00BB7D7D">
      <w:trPr>
        <w:cantSplit/>
        <w:trHeight w:val="320"/>
      </w:trPr>
      <w:tc>
        <w:tcPr>
          <w:tcW w:w="4032" w:type="dxa"/>
          <w:tcBorders>
            <w:bottom w:val="single" w:sz="4" w:space="0" w:color="auto"/>
          </w:tcBorders>
        </w:tcPr>
        <w:p w:rsidR="00BB7D7D" w:rsidRDefault="00BB7D7D"/>
      </w:tc>
      <w:tc>
        <w:tcPr>
          <w:tcW w:w="1555" w:type="dxa"/>
          <w:tcBorders>
            <w:bottom w:val="single" w:sz="4" w:space="0" w:color="auto"/>
          </w:tcBorders>
        </w:tcPr>
        <w:p w:rsidR="00BB7D7D" w:rsidRDefault="00BB7D7D">
          <w:pPr>
            <w:jc w:val="center"/>
            <w:rPr>
              <w:rStyle w:val="PageNumber"/>
            </w:rPr>
          </w:pPr>
          <w:r>
            <w:rPr>
              <w:rStyle w:val="PageNumber"/>
            </w:rPr>
            <w:t xml:space="preserve">- </w:t>
          </w:r>
          <w:r>
            <w:rPr>
              <w:rStyle w:val="PageNumber"/>
            </w:rPr>
            <w:fldChar w:fldCharType="begin"/>
          </w:r>
          <w:r>
            <w:rPr>
              <w:rStyle w:val="PageNumber"/>
            </w:rPr>
            <w:instrText xml:space="preserve"> PAGE \* MERGEFORMAT \* MERGEFORMAT </w:instrText>
          </w:r>
          <w:r>
            <w:rPr>
              <w:rStyle w:val="PageNumber"/>
            </w:rPr>
            <w:fldChar w:fldCharType="separate"/>
          </w:r>
          <w:r w:rsidR="00B902AB">
            <w:rPr>
              <w:rStyle w:val="PageNumber"/>
              <w:noProof/>
            </w:rPr>
            <w:t>2</w:t>
          </w:r>
          <w:r>
            <w:rPr>
              <w:rStyle w:val="PageNumber"/>
            </w:rPr>
            <w:fldChar w:fldCharType="end"/>
          </w:r>
          <w:r>
            <w:rPr>
              <w:rStyle w:val="PageNumber"/>
            </w:rPr>
            <w:t xml:space="preserve"> -</w:t>
          </w:r>
        </w:p>
      </w:tc>
      <w:tc>
        <w:tcPr>
          <w:tcW w:w="4032" w:type="dxa"/>
          <w:tcBorders>
            <w:bottom w:val="single" w:sz="4" w:space="0" w:color="auto"/>
          </w:tcBorders>
        </w:tcPr>
        <w:p w:rsidR="00BB7D7D" w:rsidRDefault="00BB7D7D"/>
      </w:tc>
    </w:tr>
    <w:tr w:rsidR="00BB7D7D">
      <w:trPr>
        <w:cantSplit/>
        <w:trHeight w:val="317"/>
      </w:trPr>
      <w:tc>
        <w:tcPr>
          <w:tcW w:w="9619" w:type="dxa"/>
          <w:gridSpan w:val="3"/>
          <w:vAlign w:val="center"/>
        </w:tcPr>
        <w:p w:rsidR="00BB7D7D" w:rsidRDefault="00BB7D7D">
          <w:pPr>
            <w:pStyle w:val="FooterDocumentTitle"/>
          </w:pPr>
          <w:r>
            <w:t>proof of service</w:t>
          </w:r>
        </w:p>
      </w:tc>
    </w:tr>
  </w:tbl>
  <w:p w:rsidR="00BB7D7D" w:rsidRDefault="00BB7D7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000" w:firstRow="0" w:lastRow="0" w:firstColumn="0" w:lastColumn="0" w:noHBand="0" w:noVBand="0"/>
    </w:tblPr>
    <w:tblGrid>
      <w:gridCol w:w="4032"/>
      <w:gridCol w:w="1555"/>
      <w:gridCol w:w="4032"/>
    </w:tblGrid>
    <w:tr w:rsidR="00BB7D7D">
      <w:trPr>
        <w:cantSplit/>
        <w:trHeight w:val="320"/>
      </w:trPr>
      <w:tc>
        <w:tcPr>
          <w:tcW w:w="4032" w:type="dxa"/>
          <w:tcBorders>
            <w:bottom w:val="single" w:sz="4" w:space="0" w:color="auto"/>
          </w:tcBorders>
        </w:tcPr>
        <w:p w:rsidR="00BB7D7D" w:rsidRDefault="00BB7D7D"/>
      </w:tc>
      <w:tc>
        <w:tcPr>
          <w:tcW w:w="1555" w:type="dxa"/>
          <w:tcBorders>
            <w:bottom w:val="single" w:sz="4" w:space="0" w:color="auto"/>
          </w:tcBorders>
        </w:tcPr>
        <w:p w:rsidR="00BB7D7D" w:rsidRDefault="00BB7D7D">
          <w:pPr>
            <w:jc w:val="center"/>
            <w:rPr>
              <w:rStyle w:val="PageNumber"/>
            </w:rPr>
          </w:pPr>
        </w:p>
      </w:tc>
      <w:tc>
        <w:tcPr>
          <w:tcW w:w="4032" w:type="dxa"/>
          <w:tcBorders>
            <w:bottom w:val="single" w:sz="4" w:space="0" w:color="auto"/>
          </w:tcBorders>
        </w:tcPr>
        <w:p w:rsidR="00BB7D7D" w:rsidRDefault="00BB7D7D"/>
      </w:tc>
    </w:tr>
    <w:tr w:rsidR="00BB7D7D">
      <w:trPr>
        <w:cantSplit/>
        <w:trHeight w:val="317"/>
      </w:trPr>
      <w:tc>
        <w:tcPr>
          <w:tcW w:w="9619" w:type="dxa"/>
          <w:gridSpan w:val="3"/>
          <w:vAlign w:val="center"/>
        </w:tcPr>
        <w:p w:rsidR="00BB7D7D" w:rsidRDefault="00BB7D7D">
          <w:pPr>
            <w:pStyle w:val="FooterDocumentTitle"/>
          </w:pPr>
          <w:r>
            <w:t>PROOF OF SERVICE</w:t>
          </w:r>
        </w:p>
      </w:tc>
    </w:tr>
  </w:tbl>
  <w:p w:rsidR="00BB7D7D" w:rsidRDefault="00BB7D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56B3" w:rsidRDefault="005956B3">
      <w:pPr>
        <w:spacing w:line="240" w:lineRule="auto"/>
      </w:pPr>
      <w:r>
        <w:separator/>
      </w:r>
    </w:p>
  </w:footnote>
  <w:footnote w:type="continuationSeparator" w:id="0">
    <w:p w:rsidR="005956B3" w:rsidRDefault="005956B3">
      <w:pPr>
        <w:spacing w:line="240" w:lineRule="auto"/>
      </w:pPr>
      <w:r>
        <w:continuationSeparator/>
      </w:r>
    </w:p>
  </w:footnote>
  <w:footnote w:id="1">
    <w:p w:rsidR="00BB7D7D" w:rsidRDefault="00BB7D7D" w:rsidP="0071566A">
      <w:pPr>
        <w:pStyle w:val="FootnoteText"/>
        <w:spacing w:after="120"/>
      </w:pPr>
      <w:r>
        <w:rPr>
          <w:rStyle w:val="FootnoteReference"/>
        </w:rPr>
        <w:footnoteRef/>
      </w:r>
      <w:r>
        <w:t xml:space="preserve"> </w:t>
      </w:r>
      <w:r w:rsidRPr="00A952C8">
        <w:rPr>
          <w:sz w:val="24"/>
          <w:szCs w:val="24"/>
        </w:rPr>
        <w:t xml:space="preserve">The People claimed their </w:t>
      </w:r>
      <w:r w:rsidR="0071566A">
        <w:rPr>
          <w:sz w:val="24"/>
          <w:szCs w:val="24"/>
        </w:rPr>
        <w:t xml:space="preserve">previous </w:t>
      </w:r>
      <w:r w:rsidRPr="00A952C8">
        <w:rPr>
          <w:sz w:val="24"/>
          <w:szCs w:val="24"/>
        </w:rPr>
        <w:t>failure to produce these documents was “inadvertent.”  Whether they were telling the truth is not relevant to this motion.</w:t>
      </w:r>
    </w:p>
  </w:footnote>
  <w:footnote w:id="2">
    <w:p w:rsidR="00F85421" w:rsidRDefault="00F85421" w:rsidP="00F85421">
      <w:pPr>
        <w:pStyle w:val="FootnoteText"/>
        <w:spacing w:after="240" w:line="240" w:lineRule="auto"/>
        <w:rPr>
          <w:sz w:val="22"/>
          <w:szCs w:val="22"/>
        </w:rPr>
      </w:pPr>
      <w:r>
        <w:rPr>
          <w:rStyle w:val="FootnoteReference"/>
          <w:sz w:val="22"/>
          <w:szCs w:val="22"/>
        </w:rPr>
        <w:footnoteRef/>
      </w:r>
      <w:r>
        <w:rPr>
          <w:sz w:val="22"/>
          <w:szCs w:val="22"/>
        </w:rPr>
        <w:t xml:space="preserve">  </w:t>
      </w:r>
      <w:r w:rsidRPr="00A952C8">
        <w:rPr>
          <w:sz w:val="24"/>
          <w:szCs w:val="24"/>
        </w:rPr>
        <w:t>The Attorney General’s Office clearly preserved emails dating back at least to 2013, as Mr. Burum received some such emails through a public records act request.  (</w:t>
      </w:r>
      <w:bookmarkStart w:id="10" w:name="_BA_Cite_C76EB4_000114"/>
      <w:bookmarkEnd w:id="10"/>
      <w:r w:rsidRPr="00A952C8">
        <w:rPr>
          <w:i/>
          <w:sz w:val="24"/>
          <w:szCs w:val="24"/>
        </w:rPr>
        <w:t>See</w:t>
      </w:r>
      <w:r w:rsidRPr="00A952C8">
        <w:rPr>
          <w:sz w:val="24"/>
          <w:szCs w:val="24"/>
        </w:rPr>
        <w:t xml:space="preserve"> Foster Decl., Ex. 3.)  It is unclear why some emails were preserved and others were not.  The People have provided no information regarding the dates, or subject matters, of the documents it destroyed.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50" w:type="dxa"/>
      <w:tblInd w:w="-827" w:type="dxa"/>
      <w:tblBorders>
        <w:right w:val="single" w:sz="4" w:space="0" w:color="auto"/>
        <w:insideH w:val="double" w:sz="6" w:space="0" w:color="auto"/>
        <w:insideV w:val="double" w:sz="6" w:space="0" w:color="auto"/>
      </w:tblBorders>
      <w:tblLayout w:type="fixed"/>
      <w:tblCellMar>
        <w:left w:w="0" w:type="dxa"/>
        <w:right w:w="0" w:type="dxa"/>
      </w:tblCellMar>
      <w:tblLook w:val="0000" w:firstRow="0" w:lastRow="0" w:firstColumn="0" w:lastColumn="0" w:noHBand="0" w:noVBand="0"/>
    </w:tblPr>
    <w:tblGrid>
      <w:gridCol w:w="630"/>
      <w:gridCol w:w="9720"/>
    </w:tblGrid>
    <w:tr w:rsidR="00BB7D7D">
      <w:trPr>
        <w:trHeight w:hRule="exact" w:val="14880"/>
      </w:trPr>
      <w:tc>
        <w:tcPr>
          <w:tcW w:w="630" w:type="dxa"/>
        </w:tcPr>
        <w:p w:rsidR="00BB7D7D" w:rsidRDefault="00BB7D7D">
          <w:pPr>
            <w:pStyle w:val="HeaderNumbers"/>
            <w:spacing w:before="700"/>
          </w:pPr>
          <w:r>
            <w:t>1</w:t>
          </w:r>
          <w:r>
            <w:br/>
            <w:t>2</w:t>
          </w:r>
          <w:r>
            <w:br/>
            <w:t>3</w:t>
          </w:r>
          <w:r>
            <w:br/>
            <w:t>4</w:t>
          </w:r>
          <w:r>
            <w:br/>
            <w:t>5</w:t>
          </w:r>
          <w:r>
            <w:br/>
            <w:t>6</w:t>
          </w:r>
          <w:r>
            <w:br/>
            <w:t>7</w:t>
          </w:r>
          <w:r>
            <w:br/>
            <w:t>8</w:t>
          </w:r>
          <w:r>
            <w:br/>
            <w:t>9</w:t>
          </w:r>
          <w:r>
            <w:br/>
            <w:t>10</w:t>
          </w:r>
          <w:r>
            <w:br/>
            <w:t>11</w:t>
          </w:r>
          <w:r>
            <w:br/>
            <w:t>12</w:t>
          </w:r>
          <w:r>
            <w:br/>
            <w:t>13</w:t>
          </w:r>
          <w:r>
            <w:br/>
            <w:t>14</w:t>
          </w:r>
          <w:r>
            <w:br/>
            <w:t>15</w:t>
          </w:r>
          <w:r>
            <w:br/>
            <w:t>16</w:t>
          </w:r>
          <w:r>
            <w:br/>
            <w:t>17</w:t>
          </w:r>
          <w:r>
            <w:br/>
            <w:t>18</w:t>
          </w:r>
          <w:r>
            <w:br/>
            <w:t>19</w:t>
          </w:r>
          <w:r>
            <w:br/>
            <w:t>20</w:t>
          </w:r>
          <w:r>
            <w:br/>
            <w:t>21</w:t>
          </w:r>
          <w:r>
            <w:br/>
            <w:t>22</w:t>
          </w:r>
          <w:r>
            <w:br/>
            <w:t>23</w:t>
          </w:r>
          <w:r>
            <w:br/>
            <w:t>24</w:t>
          </w:r>
          <w:r>
            <w:br/>
            <w:t>25</w:t>
          </w:r>
          <w:r>
            <w:br/>
            <w:t>26</w:t>
          </w:r>
          <w:r>
            <w:br/>
            <w:t>27</w:t>
          </w:r>
          <w:r>
            <w:br/>
            <w:t>28</w:t>
          </w:r>
        </w:p>
      </w:tc>
      <w:tc>
        <w:tcPr>
          <w:tcW w:w="9720" w:type="dxa"/>
        </w:tcPr>
        <w:p w:rsidR="00BB7D7D" w:rsidRDefault="00BB7D7D">
          <w:pPr>
            <w:tabs>
              <w:tab w:val="center" w:pos="4853"/>
              <w:tab w:val="right" w:pos="9547"/>
            </w:tabs>
            <w:ind w:left="113" w:right="113"/>
          </w:pPr>
        </w:p>
      </w:tc>
    </w:tr>
  </w:tbl>
  <w:p w:rsidR="00BB7D7D" w:rsidRDefault="00BB7D7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50" w:type="dxa"/>
      <w:tblInd w:w="-827" w:type="dxa"/>
      <w:tblBorders>
        <w:right w:val="single" w:sz="4" w:space="0" w:color="auto"/>
        <w:insideH w:val="double" w:sz="6" w:space="0" w:color="auto"/>
        <w:insideV w:val="double" w:sz="6" w:space="0" w:color="auto"/>
      </w:tblBorders>
      <w:tblLayout w:type="fixed"/>
      <w:tblCellMar>
        <w:left w:w="0" w:type="dxa"/>
        <w:right w:w="0" w:type="dxa"/>
      </w:tblCellMar>
      <w:tblLook w:val="0000" w:firstRow="0" w:lastRow="0" w:firstColumn="0" w:lastColumn="0" w:noHBand="0" w:noVBand="0"/>
    </w:tblPr>
    <w:tblGrid>
      <w:gridCol w:w="630"/>
      <w:gridCol w:w="9720"/>
    </w:tblGrid>
    <w:tr w:rsidR="00BB7D7D">
      <w:trPr>
        <w:trHeight w:hRule="exact" w:val="14880"/>
      </w:trPr>
      <w:tc>
        <w:tcPr>
          <w:tcW w:w="630" w:type="dxa"/>
        </w:tcPr>
        <w:p w:rsidR="00BB7D7D" w:rsidRDefault="00BB7D7D">
          <w:pPr>
            <w:pStyle w:val="HeaderNumbers"/>
            <w:spacing w:before="700"/>
          </w:pPr>
          <w:r>
            <w:t>1</w:t>
          </w:r>
          <w:r>
            <w:br/>
            <w:t>2</w:t>
          </w:r>
          <w:r>
            <w:br/>
            <w:t>3</w:t>
          </w:r>
          <w:r>
            <w:br/>
            <w:t>4</w:t>
          </w:r>
          <w:r>
            <w:br/>
            <w:t>5</w:t>
          </w:r>
          <w:r>
            <w:br/>
            <w:t>6</w:t>
          </w:r>
          <w:r>
            <w:br/>
            <w:t>7</w:t>
          </w:r>
          <w:r>
            <w:br/>
            <w:t>8</w:t>
          </w:r>
          <w:r>
            <w:br/>
            <w:t>9</w:t>
          </w:r>
          <w:r>
            <w:br/>
            <w:t>10</w:t>
          </w:r>
          <w:r>
            <w:br/>
            <w:t>11</w:t>
          </w:r>
          <w:r>
            <w:br/>
            <w:t>12</w:t>
          </w:r>
          <w:r>
            <w:br/>
            <w:t>13</w:t>
          </w:r>
          <w:r>
            <w:br/>
            <w:t>14</w:t>
          </w:r>
          <w:r>
            <w:br/>
            <w:t>15</w:t>
          </w:r>
          <w:r>
            <w:br/>
            <w:t>16</w:t>
          </w:r>
          <w:r>
            <w:br/>
            <w:t>17</w:t>
          </w:r>
          <w:r>
            <w:br/>
            <w:t>18</w:t>
          </w:r>
          <w:r>
            <w:br/>
            <w:t>19</w:t>
          </w:r>
          <w:r>
            <w:br/>
            <w:t>20</w:t>
          </w:r>
          <w:r>
            <w:br/>
            <w:t>21</w:t>
          </w:r>
          <w:r>
            <w:br/>
            <w:t>22</w:t>
          </w:r>
          <w:r>
            <w:br/>
            <w:t>23</w:t>
          </w:r>
          <w:r>
            <w:br/>
            <w:t>24</w:t>
          </w:r>
          <w:r>
            <w:br/>
            <w:t>25</w:t>
          </w:r>
          <w:r>
            <w:br/>
            <w:t>26</w:t>
          </w:r>
          <w:r>
            <w:br/>
            <w:t>27</w:t>
          </w:r>
          <w:r>
            <w:br/>
            <w:t>28</w:t>
          </w:r>
        </w:p>
      </w:tc>
      <w:tc>
        <w:tcPr>
          <w:tcW w:w="9720" w:type="dxa"/>
        </w:tcPr>
        <w:p w:rsidR="00BB7D7D" w:rsidRDefault="00BB7D7D">
          <w:pPr>
            <w:tabs>
              <w:tab w:val="center" w:pos="4853"/>
              <w:tab w:val="right" w:pos="9547"/>
            </w:tabs>
            <w:ind w:left="113" w:right="113"/>
          </w:pPr>
        </w:p>
      </w:tc>
    </w:tr>
  </w:tbl>
  <w:p w:rsidR="00BB7D7D" w:rsidRDefault="00BB7D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50" w:type="dxa"/>
      <w:tblInd w:w="-827" w:type="dxa"/>
      <w:tblBorders>
        <w:right w:val="single" w:sz="4" w:space="0" w:color="auto"/>
        <w:insideH w:val="double" w:sz="6" w:space="0" w:color="auto"/>
        <w:insideV w:val="double" w:sz="6" w:space="0" w:color="auto"/>
      </w:tblBorders>
      <w:tblLayout w:type="fixed"/>
      <w:tblCellMar>
        <w:left w:w="0" w:type="dxa"/>
        <w:right w:w="0" w:type="dxa"/>
      </w:tblCellMar>
      <w:tblLook w:val="0000" w:firstRow="0" w:lastRow="0" w:firstColumn="0" w:lastColumn="0" w:noHBand="0" w:noVBand="0"/>
    </w:tblPr>
    <w:tblGrid>
      <w:gridCol w:w="630"/>
      <w:gridCol w:w="9720"/>
    </w:tblGrid>
    <w:tr w:rsidR="00BB7D7D">
      <w:trPr>
        <w:trHeight w:hRule="exact" w:val="14880"/>
      </w:trPr>
      <w:tc>
        <w:tcPr>
          <w:tcW w:w="630" w:type="dxa"/>
        </w:tcPr>
        <w:p w:rsidR="00BB7D7D" w:rsidRDefault="00BB7D7D">
          <w:pPr>
            <w:pStyle w:val="HeaderNumbers"/>
            <w:spacing w:before="700"/>
          </w:pPr>
          <w:r>
            <w:t>1</w:t>
          </w:r>
          <w:r>
            <w:br/>
            <w:t>2</w:t>
          </w:r>
          <w:r>
            <w:br/>
            <w:t>3</w:t>
          </w:r>
          <w:r>
            <w:br/>
            <w:t>4</w:t>
          </w:r>
          <w:r>
            <w:br/>
            <w:t>5</w:t>
          </w:r>
          <w:r>
            <w:br/>
            <w:t>6</w:t>
          </w:r>
          <w:r>
            <w:br/>
            <w:t>7</w:t>
          </w:r>
          <w:r>
            <w:br/>
            <w:t>8</w:t>
          </w:r>
          <w:r>
            <w:br/>
            <w:t>9</w:t>
          </w:r>
          <w:r>
            <w:br/>
            <w:t>10</w:t>
          </w:r>
          <w:r>
            <w:br/>
            <w:t>11</w:t>
          </w:r>
          <w:r>
            <w:br/>
            <w:t>12</w:t>
          </w:r>
          <w:r>
            <w:br/>
            <w:t>13</w:t>
          </w:r>
          <w:r>
            <w:br/>
            <w:t>14</w:t>
          </w:r>
          <w:r>
            <w:br/>
            <w:t>15</w:t>
          </w:r>
          <w:r>
            <w:br/>
            <w:t>16</w:t>
          </w:r>
          <w:r>
            <w:br/>
            <w:t>17</w:t>
          </w:r>
          <w:r>
            <w:br/>
            <w:t>18</w:t>
          </w:r>
          <w:r>
            <w:br/>
            <w:t>19</w:t>
          </w:r>
          <w:r>
            <w:br/>
            <w:t>20</w:t>
          </w:r>
          <w:r>
            <w:br/>
            <w:t>21</w:t>
          </w:r>
          <w:r>
            <w:br/>
            <w:t>22</w:t>
          </w:r>
          <w:r>
            <w:br/>
            <w:t>23</w:t>
          </w:r>
          <w:r>
            <w:br/>
            <w:t>24</w:t>
          </w:r>
          <w:r>
            <w:br/>
            <w:t>25</w:t>
          </w:r>
          <w:r>
            <w:br/>
            <w:t>26</w:t>
          </w:r>
          <w:r>
            <w:br/>
            <w:t>27</w:t>
          </w:r>
          <w:r>
            <w:br/>
            <w:t>28</w:t>
          </w:r>
        </w:p>
      </w:tc>
      <w:tc>
        <w:tcPr>
          <w:tcW w:w="9720" w:type="dxa"/>
        </w:tcPr>
        <w:p w:rsidR="00BB7D7D" w:rsidRDefault="00BB7D7D">
          <w:pPr>
            <w:tabs>
              <w:tab w:val="center" w:pos="4853"/>
              <w:tab w:val="right" w:pos="9547"/>
            </w:tabs>
            <w:ind w:left="113" w:right="113"/>
          </w:pPr>
        </w:p>
      </w:tc>
    </w:tr>
  </w:tbl>
  <w:p w:rsidR="00BB7D7D" w:rsidRDefault="00BB7D7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50" w:type="dxa"/>
      <w:tblInd w:w="-827" w:type="dxa"/>
      <w:tblBorders>
        <w:right w:val="single" w:sz="4" w:space="0" w:color="auto"/>
        <w:insideH w:val="double" w:sz="6" w:space="0" w:color="auto"/>
        <w:insideV w:val="double" w:sz="6" w:space="0" w:color="auto"/>
      </w:tblBorders>
      <w:tblLayout w:type="fixed"/>
      <w:tblCellMar>
        <w:left w:w="0" w:type="dxa"/>
        <w:right w:w="0" w:type="dxa"/>
      </w:tblCellMar>
      <w:tblLook w:val="0000" w:firstRow="0" w:lastRow="0" w:firstColumn="0" w:lastColumn="0" w:noHBand="0" w:noVBand="0"/>
    </w:tblPr>
    <w:tblGrid>
      <w:gridCol w:w="630"/>
      <w:gridCol w:w="9720"/>
    </w:tblGrid>
    <w:tr w:rsidR="00BB7D7D">
      <w:trPr>
        <w:trHeight w:hRule="exact" w:val="14880"/>
      </w:trPr>
      <w:tc>
        <w:tcPr>
          <w:tcW w:w="630" w:type="dxa"/>
        </w:tcPr>
        <w:p w:rsidR="00BB7D7D" w:rsidRDefault="00BB7D7D">
          <w:pPr>
            <w:pStyle w:val="HeaderNumbers"/>
            <w:spacing w:before="700"/>
          </w:pPr>
          <w:r>
            <w:t>1</w:t>
          </w:r>
          <w:r>
            <w:br/>
            <w:t>2</w:t>
          </w:r>
          <w:r>
            <w:br/>
            <w:t>3</w:t>
          </w:r>
          <w:r>
            <w:br/>
            <w:t>4</w:t>
          </w:r>
          <w:r>
            <w:br/>
            <w:t>5</w:t>
          </w:r>
          <w:r>
            <w:br/>
            <w:t>6</w:t>
          </w:r>
          <w:r>
            <w:br/>
            <w:t>7</w:t>
          </w:r>
          <w:r>
            <w:br/>
            <w:t>8</w:t>
          </w:r>
          <w:r>
            <w:br/>
            <w:t>9</w:t>
          </w:r>
          <w:r>
            <w:br/>
            <w:t>10</w:t>
          </w:r>
          <w:r>
            <w:br/>
            <w:t>11</w:t>
          </w:r>
          <w:r>
            <w:br/>
            <w:t>12</w:t>
          </w:r>
          <w:r>
            <w:br/>
            <w:t>13</w:t>
          </w:r>
          <w:r>
            <w:br/>
            <w:t>14</w:t>
          </w:r>
          <w:r>
            <w:br/>
            <w:t>15</w:t>
          </w:r>
          <w:r>
            <w:br/>
            <w:t>16</w:t>
          </w:r>
          <w:r>
            <w:br/>
            <w:t>17</w:t>
          </w:r>
          <w:r>
            <w:br/>
            <w:t>18</w:t>
          </w:r>
          <w:r>
            <w:br/>
            <w:t>19</w:t>
          </w:r>
          <w:r>
            <w:br/>
            <w:t>20</w:t>
          </w:r>
          <w:r>
            <w:br/>
            <w:t>21</w:t>
          </w:r>
          <w:r>
            <w:br/>
            <w:t>22</w:t>
          </w:r>
          <w:r>
            <w:br/>
            <w:t>23</w:t>
          </w:r>
          <w:r>
            <w:br/>
            <w:t>24</w:t>
          </w:r>
          <w:r>
            <w:br/>
            <w:t>25</w:t>
          </w:r>
          <w:r>
            <w:br/>
            <w:t>26</w:t>
          </w:r>
          <w:r>
            <w:br/>
            <w:t>27</w:t>
          </w:r>
          <w:r>
            <w:br/>
            <w:t>28</w:t>
          </w:r>
        </w:p>
      </w:tc>
      <w:tc>
        <w:tcPr>
          <w:tcW w:w="9720" w:type="dxa"/>
        </w:tcPr>
        <w:p w:rsidR="00BB7D7D" w:rsidRDefault="00BB7D7D">
          <w:pPr>
            <w:tabs>
              <w:tab w:val="center" w:pos="4853"/>
              <w:tab w:val="right" w:pos="9547"/>
            </w:tabs>
            <w:ind w:left="113" w:right="113"/>
          </w:pPr>
        </w:p>
      </w:tc>
    </w:tr>
  </w:tbl>
  <w:p w:rsidR="00BB7D7D" w:rsidRDefault="00BB7D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F35EB"/>
    <w:multiLevelType w:val="multilevel"/>
    <w:tmpl w:val="2E9699C4"/>
    <w:name w:val="zzmpPleading1||Pleading1|2|1|1|1|12|45||1|12|37||1|12|32||1|12|32||1|12|32||1|12|32||1|12|32||1|12|32||1|12|32||"/>
    <w:lvl w:ilvl="0">
      <w:start w:val="1"/>
      <w:numFmt w:val="upperRoman"/>
      <w:pStyle w:val="Pleading1L1"/>
      <w:lvlText w:val="%1."/>
      <w:lvlJc w:val="left"/>
      <w:pPr>
        <w:tabs>
          <w:tab w:val="num" w:pos="720"/>
        </w:tabs>
        <w:ind w:left="720" w:hanging="720"/>
      </w:pPr>
      <w:rPr>
        <w:rFonts w:hint="default"/>
        <w:b/>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Pleading1L2"/>
      <w:lvlText w:val="%2."/>
      <w:lvlJc w:val="left"/>
      <w:pPr>
        <w:tabs>
          <w:tab w:val="num" w:pos="1440"/>
        </w:tabs>
        <w:ind w:left="1440" w:hanging="720"/>
      </w:pPr>
      <w:rPr>
        <w:rFonts w:hint="default"/>
        <w:b/>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leading1L3"/>
      <w:lvlText w:val="%3."/>
      <w:lvlJc w:val="left"/>
      <w:pPr>
        <w:tabs>
          <w:tab w:val="num" w:pos="2160"/>
        </w:tabs>
        <w:ind w:left="2160" w:hanging="720"/>
      </w:pPr>
      <w:rPr>
        <w:rFonts w:hint="default"/>
        <w:b/>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Pleading1L4"/>
      <w:lvlText w:val="%4."/>
      <w:lvlJc w:val="left"/>
      <w:pPr>
        <w:tabs>
          <w:tab w:val="num" w:pos="2880"/>
        </w:tabs>
        <w:ind w:left="2880" w:hanging="720"/>
      </w:pPr>
      <w:rPr>
        <w:rFonts w:hint="default"/>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Pleading1L5"/>
      <w:lvlText w:val="(%5)"/>
      <w:lvlJc w:val="left"/>
      <w:pPr>
        <w:tabs>
          <w:tab w:val="num" w:pos="3600"/>
        </w:tabs>
        <w:ind w:left="3600" w:hanging="720"/>
      </w:pPr>
      <w:rPr>
        <w:rFonts w:hint="default"/>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pStyle w:val="Pleading1L6"/>
      <w:lvlText w:val="(%6)"/>
      <w:lvlJc w:val="left"/>
      <w:pPr>
        <w:tabs>
          <w:tab w:val="num" w:pos="4320"/>
        </w:tabs>
        <w:ind w:left="4320" w:hanging="720"/>
      </w:pPr>
      <w:rPr>
        <w:rFonts w:hint="default"/>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Roman"/>
      <w:pStyle w:val="Pleading1L7"/>
      <w:lvlText w:val="(%7)"/>
      <w:lvlJc w:val="left"/>
      <w:pPr>
        <w:tabs>
          <w:tab w:val="num" w:pos="5040"/>
        </w:tabs>
        <w:ind w:left="5040" w:hanging="720"/>
      </w:pPr>
      <w:rPr>
        <w:rFonts w:hint="default"/>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Pleading1L8"/>
      <w:lvlText w:val="%8)"/>
      <w:lvlJc w:val="left"/>
      <w:pPr>
        <w:tabs>
          <w:tab w:val="num" w:pos="5760"/>
        </w:tabs>
        <w:ind w:left="5760" w:hanging="720"/>
      </w:pPr>
      <w:rPr>
        <w:rFonts w:hint="default"/>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pStyle w:val="Pleading1L9"/>
      <w:lvlText w:val="%9)"/>
      <w:lvlJc w:val="left"/>
      <w:pPr>
        <w:tabs>
          <w:tab w:val="num" w:pos="6480"/>
        </w:tabs>
        <w:ind w:left="6480" w:hanging="720"/>
      </w:pPr>
      <w:rPr>
        <w:rFonts w:hint="default"/>
        <w:b w:val="0"/>
        <w:i w:val="0"/>
        <w:caps w:val="0"/>
        <w:strike w:val="0"/>
        <w:dstrike w:val="0"/>
        <w:vanish w:val="0"/>
        <w:color w:val="000000"/>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4437A32"/>
    <w:multiLevelType w:val="hybridMultilevel"/>
    <w:tmpl w:val="464AF748"/>
    <w:lvl w:ilvl="0" w:tplc="6472FB5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4D96433"/>
    <w:multiLevelType w:val="hybridMultilevel"/>
    <w:tmpl w:val="C9DEE05C"/>
    <w:lvl w:ilvl="0" w:tplc="AE7C6B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35182A"/>
    <w:multiLevelType w:val="hybridMultilevel"/>
    <w:tmpl w:val="4FD4F372"/>
    <w:lvl w:ilvl="0" w:tplc="354A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F294601"/>
    <w:multiLevelType w:val="multilevel"/>
    <w:tmpl w:val="CD18AF72"/>
    <w:name w:val="zzmpOutline||Outline|2|3|1|1|12|9||1|12|1||1|12|1||1|12|1||1|12|0||1|12|0||1|12|0||1|12|0||1|12|0||"/>
    <w:lvl w:ilvl="0">
      <w:start w:val="1"/>
      <w:numFmt w:val="upperRoman"/>
      <w:pStyle w:val="OutlineL1"/>
      <w:lvlText w:val="%1."/>
      <w:lvlJc w:val="left"/>
      <w:pPr>
        <w:tabs>
          <w:tab w:val="num" w:pos="720"/>
        </w:tabs>
        <w:ind w:left="0" w:firstLine="0"/>
      </w:pPr>
      <w:rPr>
        <w:b w:val="0"/>
        <w:i w:val="0"/>
        <w:caps/>
        <w:smallCaps w:val="0"/>
        <w:u w:val="none"/>
      </w:rPr>
    </w:lvl>
    <w:lvl w:ilvl="1">
      <w:start w:val="1"/>
      <w:numFmt w:val="upperLetter"/>
      <w:pStyle w:val="OutlineL2"/>
      <w:lvlText w:val="%2."/>
      <w:lvlJc w:val="left"/>
      <w:pPr>
        <w:tabs>
          <w:tab w:val="num" w:pos="1440"/>
        </w:tabs>
        <w:ind w:left="0" w:firstLine="720"/>
      </w:pPr>
      <w:rPr>
        <w:b/>
        <w:i w:val="0"/>
        <w:caps w:val="0"/>
        <w:u w:val="none"/>
      </w:rPr>
    </w:lvl>
    <w:lvl w:ilvl="2">
      <w:start w:val="1"/>
      <w:numFmt w:val="decimal"/>
      <w:pStyle w:val="OutlineL3"/>
      <w:lvlText w:val="%3."/>
      <w:lvlJc w:val="left"/>
      <w:pPr>
        <w:tabs>
          <w:tab w:val="num" w:pos="2160"/>
        </w:tabs>
        <w:ind w:left="0" w:firstLine="1440"/>
      </w:pPr>
      <w:rPr>
        <w:b w:val="0"/>
        <w:i w:val="0"/>
        <w:caps w:val="0"/>
        <w:u w:val="none"/>
      </w:rPr>
    </w:lvl>
    <w:lvl w:ilvl="3">
      <w:start w:val="1"/>
      <w:numFmt w:val="lowerLetter"/>
      <w:pStyle w:val="OutlineL4"/>
      <w:lvlText w:val="%4."/>
      <w:lvlJc w:val="left"/>
      <w:pPr>
        <w:tabs>
          <w:tab w:val="num" w:pos="2880"/>
        </w:tabs>
        <w:ind w:left="0" w:firstLine="2160"/>
      </w:pPr>
      <w:rPr>
        <w:b w:val="0"/>
        <w:i w:val="0"/>
        <w:caps w:val="0"/>
        <w:u w:val="none"/>
      </w:rPr>
    </w:lvl>
    <w:lvl w:ilvl="4">
      <w:start w:val="1"/>
      <w:numFmt w:val="none"/>
      <w:lvlRestart w:val="0"/>
      <w:pStyle w:val="OutlineL5"/>
      <w:lvlText w:val="a."/>
      <w:lvlJc w:val="left"/>
      <w:pPr>
        <w:tabs>
          <w:tab w:val="num" w:pos="1440"/>
        </w:tabs>
        <w:ind w:left="0" w:firstLine="720"/>
      </w:pPr>
      <w:rPr>
        <w:b w:val="0"/>
        <w:i w:val="0"/>
        <w:caps w:val="0"/>
        <w:u w:val="none"/>
      </w:rPr>
    </w:lvl>
    <w:lvl w:ilvl="5">
      <w:start w:val="1"/>
      <w:numFmt w:val="lowerLetter"/>
      <w:pStyle w:val="OutlineL6"/>
      <w:lvlText w:val="(%6)"/>
      <w:lvlJc w:val="left"/>
      <w:pPr>
        <w:tabs>
          <w:tab w:val="num" w:pos="4320"/>
        </w:tabs>
        <w:ind w:left="0" w:firstLine="3600"/>
      </w:pPr>
      <w:rPr>
        <w:b w:val="0"/>
        <w:i w:val="0"/>
        <w:caps w:val="0"/>
        <w:u w:val="none"/>
      </w:rPr>
    </w:lvl>
    <w:lvl w:ilvl="6">
      <w:start w:val="1"/>
      <w:numFmt w:val="decimal"/>
      <w:pStyle w:val="OutlineL7"/>
      <w:lvlText w:val="(%7)"/>
      <w:lvlJc w:val="left"/>
      <w:pPr>
        <w:tabs>
          <w:tab w:val="num" w:pos="5040"/>
        </w:tabs>
        <w:ind w:left="0" w:firstLine="4320"/>
      </w:pPr>
      <w:rPr>
        <w:b w:val="0"/>
        <w:i w:val="0"/>
        <w:caps w:val="0"/>
        <w:u w:val="none"/>
      </w:rPr>
    </w:lvl>
    <w:lvl w:ilvl="7">
      <w:start w:val="1"/>
      <w:numFmt w:val="lowerRoman"/>
      <w:pStyle w:val="OutlineL8"/>
      <w:lvlText w:val="%8)"/>
      <w:lvlJc w:val="left"/>
      <w:pPr>
        <w:tabs>
          <w:tab w:val="num" w:pos="5760"/>
        </w:tabs>
        <w:ind w:left="0" w:firstLine="5040"/>
      </w:pPr>
      <w:rPr>
        <w:b w:val="0"/>
        <w:i w:val="0"/>
        <w:caps w:val="0"/>
        <w:u w:val="none"/>
      </w:rPr>
    </w:lvl>
    <w:lvl w:ilvl="8">
      <w:start w:val="1"/>
      <w:numFmt w:val="lowerLetter"/>
      <w:pStyle w:val="OutlineL9"/>
      <w:lvlText w:val="%9)"/>
      <w:lvlJc w:val="left"/>
      <w:pPr>
        <w:tabs>
          <w:tab w:val="num" w:pos="6480"/>
        </w:tabs>
        <w:ind w:left="0" w:firstLine="5760"/>
      </w:pPr>
      <w:rPr>
        <w:b w:val="0"/>
        <w:i w:val="0"/>
        <w:caps w:val="0"/>
        <w:u w:val="none"/>
      </w:rPr>
    </w:lvl>
  </w:abstractNum>
  <w:abstractNum w:abstractNumId="5" w15:restartNumberingAfterBreak="0">
    <w:nsid w:val="4F146F79"/>
    <w:multiLevelType w:val="hybridMultilevel"/>
    <w:tmpl w:val="B3901FE6"/>
    <w:lvl w:ilvl="0" w:tplc="B2F605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B8C1822"/>
    <w:multiLevelType w:val="hybridMultilevel"/>
    <w:tmpl w:val="30B4C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24B78ED"/>
    <w:multiLevelType w:val="hybridMultilevel"/>
    <w:tmpl w:val="D9DA18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7DE5358"/>
    <w:multiLevelType w:val="hybridMultilevel"/>
    <w:tmpl w:val="510A5D84"/>
    <w:lvl w:ilvl="0" w:tplc="0A6A05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03292A"/>
    <w:multiLevelType w:val="hybridMultilevel"/>
    <w:tmpl w:val="F08A97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
  </w:num>
  <w:num w:numId="2">
    <w:abstractNumId w:val="7"/>
  </w:num>
  <w:num w:numId="3">
    <w:abstractNumId w:val="0"/>
  </w:num>
  <w:num w:numId="4">
    <w:abstractNumId w:val="1"/>
  </w:num>
  <w:num w:numId="5">
    <w:abstractNumId w:val="4"/>
  </w:num>
  <w:num w:numId="6">
    <w:abstractNumId w:val="6"/>
  </w:num>
  <w:num w:numId="7">
    <w:abstractNumId w:val="5"/>
  </w:num>
  <w:num w:numId="8">
    <w:abstractNumId w:val="3"/>
  </w:num>
  <w:num w:numId="9">
    <w:abstractNumId w:val="0"/>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pfile" w:val="PleadingCASuperior.mbp"/>
    <w:docVar w:name="IDInfo" w:val="N"/>
    <w:docVar w:name="Pleading_1_Author" w:val="1946020"/>
    <w:docVar w:name="Pleading_1_CourtTitle" w:val="Superior Court of the State of California|vbcr|_x000a_County of San Bernardino"/>
    <w:docVar w:name="Pleading_1_Level0" w:val="5"/>
    <w:docVar w:name="Pleading_1_Level0String" w:val="California"/>
    <w:docVar w:name="Pleading_1_Level1" w:val="2"/>
    <w:docVar w:name="Pleading_1_Level1String" w:val="Superior"/>
    <w:docVar w:name="Pleading_1_Level2" w:val="293"/>
    <w:docVar w:name="Pleading_1_Level2String" w:val="San Bernardino"/>
    <w:docVar w:name="Pleading_1_Level3" w:val="0"/>
    <w:docVar w:name="Pleading_1_Level3String" w:val=" -None-"/>
    <w:docVar w:name="PleadingCaption_1_CaseNumber1" w:val="FSB 1102102"/>
    <w:docVar w:name="PleadingCaption_1_CaseTitle" w:val="MASTER CAPTION"/>
    <w:docVar w:name="PleadingCaption_1_CourtTitle" w:val="Superior Court of the State of California|vbcr|_x000a_County of San Bernardino"/>
    <w:docVar w:name="PleadingCaption_1_DateTimeInfo" w:val="Date:_x0009_|  _x000a_|Time:_x0009_|  _x000a_|Dept:_x0009_|S-36_x000a_|Judge:_x0009_|Hon. Brian McCarville"/>
    <w:docVar w:name="PleadingCaption_1_DisplayName" w:val="California Superior Court - Plaintiff - THE PEOPLE OF THE STATE OF CALIFORNIA"/>
    <w:docVar w:name="PleadingCaption_1_FirmAddress" w:val="555 West Fifth Street, 48th Floor|vbcr|_x000a_Los Angeles, CA  90013-1065"/>
    <w:docVar w:name="PleadingCaption_1_FirmFax" w:val="213.629.7401"/>
    <w:docVar w:name="PleadingCaption_1_FirmName" w:val="Arent Fox LLP"/>
    <w:docVar w:name="PleadingCaption_1_FirmPhone" w:val="213.629.7400"/>
    <w:docVar w:name="PleadingCaption_1_ID" w:val="1"/>
    <w:docVar w:name="PleadingCaption_1_OtherSigners" w:val="Mary Carter Andrues"/>
    <w:docVar w:name="PleadingCaption_1_Party1Name" w:val="THE PEOPLE OF THE STATE OF CALIFORNIA"/>
    <w:docVar w:name="PleadingCaption_1_Party1Title" w:val="Plaintiff"/>
    <w:docVar w:name="PleadingCaption_1_Party2Name" w:val="PAUL BIANE, MARK KIRK, JAMES ERWIN, and JEFFREY BURUM"/>
    <w:docVar w:name="PleadingCaption_1_Party2Title" w:val="Defendants"/>
    <w:docVar w:name="PleadingCaption_1_Position" w:val="1"/>
    <w:docVar w:name="PleadingCaption_1_Signer" w:val="Stephen G. Larson"/>
    <w:docVar w:name="PleadingCaption_1_SignerEMail" w:val="larson.stephen@arentfox.com"/>
    <w:docVar w:name="PleadingCaption_1_TypeID" w:val="2"/>
    <w:docVar w:name="PleadingCounsel_1_AttorneyNames" w:val="Stephen G. Larson (SBN 145225)_x000a_Mary Carter Andrues (SBN 138486)"/>
    <w:docVar w:name="PleadingCounsel_1_ClientPartyName" w:val="JEFFREY BURUM"/>
    <w:docVar w:name="PleadingCounsel_1_ClientPartyTitle" w:val="Defendant"/>
    <w:docVar w:name="PleadingCounsel_1_DisplayName" w:val="Stephen G. Larson - Arent Fox LLP"/>
    <w:docVar w:name="PleadingCounsel_1_FirmAddress" w:val="555 West Fifth Street, 48th Floor|vbcr|Los Angeles, CA  90013-1065"/>
    <w:docVar w:name="PleadingCounsel_1_FirmFax" w:val="213.629.7401|vbcr|_x000a_E-mail:_x0009_larson.stephen@arentfox.com|vbcr|_x000a__x0009_andrues.mary@arentfox.com"/>
    <w:docVar w:name="PleadingCounsel_1_FirmName" w:val="Arent Fox LLP"/>
    <w:docVar w:name="PleadingCounsel_1_FirmPhone" w:val="213.629.7400"/>
    <w:docVar w:name="PleadingCounsel_1_HasMatchingSignature" w:val="True"/>
    <w:docVar w:name="PleadingCounsel_1_ID" w:val="1"/>
    <w:docVar w:name="PleadingCounsel_1_Office" w:val="4"/>
    <w:docVar w:name="PleadingCounsel_1_Position" w:val="1"/>
    <w:docVar w:name="PleadingCounsel_1_Signers" w:val="0|-1|Stephen G. Larson|1946020|145225|larson.stephen@arentfox.com|0||Mary Carter Andrues|1669248|138486|andrues.mary@arentfox.com"/>
    <w:docVar w:name="PleadingCounsel_1_SignersEmail" w:val="larson.stephen@arentfox.com_x000b_andrues.mary@arentfox.com"/>
    <w:docVar w:name="PleadingCounsel_1_TypeID" w:val="2"/>
    <w:docVar w:name="PleadingPaper_1_PleadingPaperCaseNumberSeparator" w:val="|| --|"/>
    <w:docVar w:name="PleadingPaper_1_PleadingPaperDef" w:val="1"/>
    <w:docVar w:name="PleadingPaper_1_PleadingPaperDocTitle" w:val="[CAPTION]"/>
    <w:docVar w:name="PleadingPaper_1_PleadingPaperOfficeID" w:val="4"/>
    <w:docVar w:name="PleadingPaper_1_PleadingPaperOfficeLocation" w:val="Los Angeles"/>
    <w:docVar w:name="PleadingPaper_1_PleadingPaperSideBarType" w:val="1"/>
    <w:docVar w:name="PleadingSig_1_AllSigners" w:val="Stephen G. Larson_x000a_Mary Carter Andrues"/>
    <w:docVar w:name="PleadingSig_1_Dated" w:val="July __, 2011"/>
    <w:docVar w:name="PleadingSig_1_DisplayName" w:val="Stephen G. Larson"/>
    <w:docVar w:name="PleadingSig_1_ESigner" w:val="Stephen G. Larson"/>
    <w:docVar w:name="PleadingSig_1_FirmAddress" w:val="555 West Fifth Street, 48th Floor|vbcr|_x000a_Los Angeles, CA  90013-1065"/>
    <w:docVar w:name="PleadingSig_1_FirmCity" w:val="Los Angeles"/>
    <w:docVar w:name="PleadingSig_1_FirmFax" w:val="213.629.7401"/>
    <w:docVar w:name="PleadingSig_1_FirmID" w:val="^^-1"/>
    <w:docVar w:name="PleadingSig_1_FirmName" w:val="ARENT FOX LLP"/>
    <w:docVar w:name="PleadingSig_1_FirmPhone" w:val="213.629.7400"/>
    <w:docVar w:name="PleadingSig_1_FirmState" w:val="California"/>
    <w:docVar w:name="PleadingSig_1_ID" w:val="1"/>
    <w:docVar w:name="PleadingSig_1_InputSigner" w:val="Stephen G. Larson"/>
    <w:docVar w:name="PleadingSig_1_Office" w:val="4"/>
    <w:docVar w:name="PleadingSig_1_OneOfSignerText" w:val="By Her Attorneys"/>
    <w:docVar w:name="PleadingSig_1_OtherSigners" w:val="Mary Carter Andrues"/>
    <w:docVar w:name="PleadingSig_1_PartyName" w:val="JEFFREY BURUM^^0"/>
    <w:docVar w:name="PleadingSig_1_PartyTitle" w:val="Defendant^^0"/>
    <w:docVar w:name="PleadingSig_1_Position" w:val="2"/>
    <w:docVar w:name="PleadingSig_1_Signer" w:val="Stephen G. Larson"/>
    <w:docVar w:name="PleadingSig_1_Signer2" w:val="Stephen G. Larson"/>
    <w:docVar w:name="PleadingSig_1_SignerEMail" w:val="larson.stephen@arentfox.com"/>
    <w:docVar w:name="PleadingSig_1_Signers" w:val="0|-1|Stephen G. Larson|1946020|145225|larson.stephen@arentfox.com|0||Mary Carter Andrues|1669248|138486|andrues.mary@arentfox.com"/>
    <w:docVar w:name="PleadingSig_1_TypeID" w:val="3"/>
    <w:docVar w:name="ReUseAuthor" w:val="1946020|Larson, Stephen G.|larson.stephen@arentfox.com|213.629.7401|Stephen|Stephen G. Larson|Stephen G.|SGL|577408\California\145225\True|True|Larson|G.|4|213.443.7616|Partner|zzmpAdmittedIn??Admitted in CA|TimekeeperID??2900"/>
    <w:docVar w:name="Signatures_1_ClosingParagraph" w:val="0"/>
    <w:docVar w:name="Signatures_1_ClosingParagraphCity" w:val="Los Angeles"/>
    <w:docVar w:name="Signatures_1_ClosingParagraphDateText" w:val="July __, 2011"/>
    <w:docVar w:name="Signatures_1_ClosingParagraphState" w:val="California"/>
    <w:docVar w:name="zzmpFixed_MacPacVersion" w:val="9.0"/>
  </w:docVars>
  <w:rsids>
    <w:rsidRoot w:val="008050A4"/>
    <w:rsid w:val="00011800"/>
    <w:rsid w:val="0006674E"/>
    <w:rsid w:val="00087B87"/>
    <w:rsid w:val="000B23AD"/>
    <w:rsid w:val="000D1BF9"/>
    <w:rsid w:val="0015310A"/>
    <w:rsid w:val="001C2387"/>
    <w:rsid w:val="001E2383"/>
    <w:rsid w:val="00264B23"/>
    <w:rsid w:val="00282C7D"/>
    <w:rsid w:val="00292F24"/>
    <w:rsid w:val="00297CA3"/>
    <w:rsid w:val="002A1A1C"/>
    <w:rsid w:val="002A6334"/>
    <w:rsid w:val="002B0B24"/>
    <w:rsid w:val="002F6D73"/>
    <w:rsid w:val="00310F1F"/>
    <w:rsid w:val="003363EE"/>
    <w:rsid w:val="00387A58"/>
    <w:rsid w:val="0039384C"/>
    <w:rsid w:val="003A6864"/>
    <w:rsid w:val="003B03C2"/>
    <w:rsid w:val="003C2422"/>
    <w:rsid w:val="0041396B"/>
    <w:rsid w:val="004238AD"/>
    <w:rsid w:val="00484D8A"/>
    <w:rsid w:val="004C208F"/>
    <w:rsid w:val="004C7D3A"/>
    <w:rsid w:val="00514364"/>
    <w:rsid w:val="00525786"/>
    <w:rsid w:val="0053109F"/>
    <w:rsid w:val="005956B3"/>
    <w:rsid w:val="00611977"/>
    <w:rsid w:val="00650FB5"/>
    <w:rsid w:val="00656D7F"/>
    <w:rsid w:val="006E5C75"/>
    <w:rsid w:val="006F08CD"/>
    <w:rsid w:val="0071566A"/>
    <w:rsid w:val="00724CA6"/>
    <w:rsid w:val="007425B9"/>
    <w:rsid w:val="007A061D"/>
    <w:rsid w:val="007C6800"/>
    <w:rsid w:val="00802E2B"/>
    <w:rsid w:val="008050A4"/>
    <w:rsid w:val="00871191"/>
    <w:rsid w:val="008D18EF"/>
    <w:rsid w:val="008D6143"/>
    <w:rsid w:val="008D7CBB"/>
    <w:rsid w:val="008F40CB"/>
    <w:rsid w:val="00974146"/>
    <w:rsid w:val="009747AF"/>
    <w:rsid w:val="00974A67"/>
    <w:rsid w:val="009C0287"/>
    <w:rsid w:val="009C714F"/>
    <w:rsid w:val="00A02307"/>
    <w:rsid w:val="00A16237"/>
    <w:rsid w:val="00A3414C"/>
    <w:rsid w:val="00A6359B"/>
    <w:rsid w:val="00A64386"/>
    <w:rsid w:val="00A91FB7"/>
    <w:rsid w:val="00A952C8"/>
    <w:rsid w:val="00AA6A14"/>
    <w:rsid w:val="00AD249A"/>
    <w:rsid w:val="00AE5512"/>
    <w:rsid w:val="00B13EE2"/>
    <w:rsid w:val="00B25611"/>
    <w:rsid w:val="00B417C0"/>
    <w:rsid w:val="00B73FB7"/>
    <w:rsid w:val="00B902AB"/>
    <w:rsid w:val="00BB7D7D"/>
    <w:rsid w:val="00BD52E5"/>
    <w:rsid w:val="00BD6F59"/>
    <w:rsid w:val="00C267DA"/>
    <w:rsid w:val="00C4161F"/>
    <w:rsid w:val="00C4767C"/>
    <w:rsid w:val="00C570CD"/>
    <w:rsid w:val="00C765E1"/>
    <w:rsid w:val="00CB686C"/>
    <w:rsid w:val="00D7694F"/>
    <w:rsid w:val="00D83013"/>
    <w:rsid w:val="00DF6D24"/>
    <w:rsid w:val="00E1722E"/>
    <w:rsid w:val="00E50BE8"/>
    <w:rsid w:val="00E54065"/>
    <w:rsid w:val="00E63F99"/>
    <w:rsid w:val="00E81646"/>
    <w:rsid w:val="00E82526"/>
    <w:rsid w:val="00EF0BA1"/>
    <w:rsid w:val="00F02216"/>
    <w:rsid w:val="00F26BBD"/>
    <w:rsid w:val="00F65A25"/>
    <w:rsid w:val="00F85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schemas-westgroup-com/westlawcitation" w:name="typecases"/>
  <w:smartTagType w:namespaceuri="urn:schemas-microsoft-com:office:smarttags" w:name="place"/>
  <w:smartTagType w:namespaceuri="urn:schemas-microsoft-com:office:smarttags" w:name="country-region"/>
  <w:shapeDefaults>
    <o:shapedefaults v:ext="edit" spidmax="17409"/>
    <o:shapelayout v:ext="edit">
      <o:idmap v:ext="edit" data="1"/>
    </o:shapelayout>
  </w:shapeDefaults>
  <w:decimalSymbol w:val="."/>
  <w:listSeparator w:val=","/>
  <w15:docId w15:val="{BE724DC9-FFA6-48FF-AE36-13964D73F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pacing w:line="240" w:lineRule="exact"/>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Style 1,Style 0,bt"/>
    <w:basedOn w:val="Normal"/>
    <w:link w:val="BodyTextChar"/>
    <w:pPr>
      <w:spacing w:line="480" w:lineRule="exact"/>
      <w:ind w:firstLine="720"/>
    </w:pPr>
  </w:style>
  <w:style w:type="character" w:customStyle="1" w:styleId="BodyTextChar">
    <w:name w:val="Body Text Char"/>
    <w:aliases w:val="Style 1 Char,Style 0 Char,bt Char"/>
    <w:basedOn w:val="DefaultParagraphFont"/>
    <w:link w:val="BodyText"/>
    <w:rPr>
      <w:sz w:val="24"/>
      <w:lang w:eastAsia="en-US"/>
    </w:rPr>
  </w:style>
  <w:style w:type="paragraph" w:customStyle="1" w:styleId="BodyTextContinued">
    <w:name w:val="Body Text Continued"/>
    <w:basedOn w:val="BodyText"/>
    <w:next w:val="BodyText"/>
    <w:pPr>
      <w:ind w:firstLine="0"/>
    </w:pPr>
  </w:style>
  <w:style w:type="paragraph" w:styleId="Quote">
    <w:name w:val="Quote"/>
    <w:basedOn w:val="Normal"/>
    <w:next w:val="BodyTextContinued"/>
    <w:link w:val="QuoteChar"/>
    <w:qFormat/>
    <w:pPr>
      <w:spacing w:before="240"/>
      <w:ind w:left="1440" w:right="1440"/>
    </w:pPr>
  </w:style>
  <w:style w:type="character" w:customStyle="1" w:styleId="QuoteChar">
    <w:name w:val="Quote Char"/>
    <w:basedOn w:val="DefaultParagraphFont"/>
    <w:link w:val="Quote"/>
    <w:rPr>
      <w:sz w:val="24"/>
      <w:lang w:eastAsia="en-US"/>
    </w:rPr>
  </w:style>
  <w:style w:type="paragraph" w:styleId="Caption">
    <w:name w:val="caption"/>
    <w:basedOn w:val="Normal"/>
    <w:next w:val="Normal"/>
    <w:qFormat/>
    <w:rPr>
      <w:bCs/>
    </w:rPr>
  </w:style>
  <w:style w:type="paragraph" w:customStyle="1" w:styleId="Court">
    <w:name w:val="Court"/>
    <w:basedOn w:val="Normal"/>
    <w:pPr>
      <w:spacing w:before="40" w:after="660" w:line="480" w:lineRule="exact"/>
      <w:jc w:val="center"/>
    </w:pPr>
    <w:rPr>
      <w:caps/>
    </w:rPr>
  </w:style>
  <w:style w:type="paragraph" w:customStyle="1" w:styleId="DocumentTitle">
    <w:name w:val="Document Title"/>
    <w:basedOn w:val="Normal"/>
    <w:pPr>
      <w:tabs>
        <w:tab w:val="left" w:pos="1238"/>
      </w:tabs>
      <w:spacing w:after="240"/>
      <w:ind w:left="259" w:right="115"/>
    </w:pPr>
    <w:rPr>
      <w:b/>
    </w:rPr>
  </w:style>
  <w:style w:type="paragraph" w:customStyle="1" w:styleId="FirmInformation">
    <w:name w:val="Firm Information"/>
    <w:basedOn w:val="Normal"/>
    <w:link w:val="FirmInformationChar"/>
    <w:pPr>
      <w:ind w:right="144"/>
    </w:pPr>
  </w:style>
  <w:style w:type="paragraph" w:styleId="Footer">
    <w:name w:val="footer"/>
    <w:basedOn w:val="Normal"/>
    <w:link w:val="FooterChar"/>
    <w:pPr>
      <w:tabs>
        <w:tab w:val="center" w:pos="4320"/>
        <w:tab w:val="right" w:pos="9360"/>
      </w:tabs>
      <w:spacing w:line="200" w:lineRule="exact"/>
    </w:pPr>
  </w:style>
  <w:style w:type="character" w:customStyle="1" w:styleId="FooterChar">
    <w:name w:val="Footer Char"/>
    <w:basedOn w:val="DefaultParagraphFont"/>
    <w:link w:val="Footer"/>
    <w:rPr>
      <w:sz w:val="24"/>
      <w:lang w:eastAsia="en-US"/>
    </w:rPr>
  </w:style>
  <w:style w:type="paragraph" w:styleId="Header">
    <w:name w:val="header"/>
    <w:basedOn w:val="Normal"/>
    <w:link w:val="HeaderChar"/>
    <w:pPr>
      <w:tabs>
        <w:tab w:val="center" w:pos="4320"/>
        <w:tab w:val="right" w:pos="9360"/>
      </w:tabs>
    </w:pPr>
  </w:style>
  <w:style w:type="character" w:customStyle="1" w:styleId="HeaderChar">
    <w:name w:val="Header Char"/>
    <w:basedOn w:val="DefaultParagraphFont"/>
    <w:link w:val="Header"/>
    <w:rPr>
      <w:sz w:val="24"/>
      <w:lang w:eastAsia="en-US"/>
    </w:rPr>
  </w:style>
  <w:style w:type="paragraph" w:customStyle="1" w:styleId="HeaderNumbers">
    <w:name w:val="HeaderNumbers"/>
    <w:basedOn w:val="Normal"/>
    <w:pPr>
      <w:spacing w:before="720" w:line="480" w:lineRule="exact"/>
      <w:ind w:right="144"/>
      <w:jc w:val="right"/>
    </w:pPr>
  </w:style>
  <w:style w:type="character" w:styleId="PageNumber">
    <w:name w:val="page number"/>
    <w:basedOn w:val="DefaultParagraphFont"/>
    <w:rPr>
      <w:sz w:val="24"/>
    </w:rPr>
  </w:style>
  <w:style w:type="paragraph" w:customStyle="1" w:styleId="PleadingSignature">
    <w:name w:val="Pleading Signature"/>
    <w:basedOn w:val="Normal"/>
    <w:pPr>
      <w:keepNext/>
      <w:keepLines/>
    </w:pPr>
  </w:style>
  <w:style w:type="paragraph" w:customStyle="1" w:styleId="FooterDocumentTitle">
    <w:name w:val="Footer Document Title"/>
    <w:basedOn w:val="Normal"/>
    <w:qFormat/>
    <w:pPr>
      <w:widowControl/>
      <w:spacing w:line="240" w:lineRule="auto"/>
      <w:jc w:val="center"/>
    </w:pPr>
    <w:rPr>
      <w:caps/>
      <w:sz w:val="20"/>
    </w:rPr>
  </w:style>
  <w:style w:type="paragraph" w:customStyle="1" w:styleId="FirmName">
    <w:name w:val="Firm Name"/>
    <w:basedOn w:val="Normal"/>
    <w:pPr>
      <w:widowControl/>
      <w:spacing w:line="160" w:lineRule="exact"/>
      <w:jc w:val="center"/>
    </w:pPr>
    <w:rPr>
      <w:rFonts w:ascii="Book Antiqua" w:hAnsi="Book Antiqua"/>
      <w:smallCaps/>
      <w:spacing w:val="10"/>
      <w:sz w:val="10"/>
    </w:rPr>
  </w:style>
  <w:style w:type="paragraph" w:customStyle="1" w:styleId="TOCHeader">
    <w:name w:val="TOC Header"/>
    <w:basedOn w:val="Normal"/>
    <w:pPr>
      <w:widowControl/>
      <w:spacing w:line="240" w:lineRule="auto"/>
      <w:ind w:left="115" w:right="115"/>
      <w:jc w:val="center"/>
    </w:pPr>
  </w:style>
  <w:style w:type="paragraph" w:customStyle="1" w:styleId="DocID">
    <w:name w:val="DocID"/>
    <w:basedOn w:val="Normal"/>
    <w:next w:val="Footer"/>
    <w:link w:val="DocIDChar"/>
    <w:pPr>
      <w:spacing w:line="240" w:lineRule="auto"/>
    </w:pPr>
    <w:rPr>
      <w:sz w:val="20"/>
    </w:rPr>
  </w:style>
  <w:style w:type="character" w:customStyle="1" w:styleId="FirmInformationChar">
    <w:name w:val="Firm Information Char"/>
    <w:basedOn w:val="DefaultParagraphFont"/>
    <w:link w:val="FirmInformation"/>
    <w:rPr>
      <w:sz w:val="24"/>
    </w:rPr>
  </w:style>
  <w:style w:type="character" w:customStyle="1" w:styleId="DocIDChar">
    <w:name w:val="DocID Char"/>
    <w:basedOn w:val="FirmInformationChar"/>
    <w:link w:val="DocID"/>
    <w:rPr>
      <w:sz w:val="24"/>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eading1L1">
    <w:name w:val="Pleading1_L1"/>
    <w:basedOn w:val="Normal"/>
    <w:next w:val="BodyText"/>
    <w:link w:val="Pleading1L1Char"/>
    <w:pPr>
      <w:keepNext/>
      <w:keepLines/>
      <w:numPr>
        <w:numId w:val="3"/>
      </w:numPr>
      <w:spacing w:before="240"/>
      <w:outlineLvl w:val="0"/>
    </w:pPr>
    <w:rPr>
      <w:b/>
      <w:caps/>
      <w:u w:val="single"/>
    </w:rPr>
  </w:style>
  <w:style w:type="character" w:customStyle="1" w:styleId="Pleading1L1Char">
    <w:name w:val="Pleading1_L1 Char"/>
    <w:basedOn w:val="DefaultParagraphFont"/>
    <w:link w:val="Pleading1L1"/>
    <w:rPr>
      <w:b/>
      <w:caps/>
      <w:sz w:val="24"/>
      <w:u w:val="single"/>
    </w:rPr>
  </w:style>
  <w:style w:type="paragraph" w:customStyle="1" w:styleId="Pleading1L2">
    <w:name w:val="Pleading1_L2"/>
    <w:basedOn w:val="Pleading1L1"/>
    <w:next w:val="BodyText"/>
    <w:link w:val="Pleading1L2Char"/>
    <w:pPr>
      <w:numPr>
        <w:ilvl w:val="1"/>
      </w:numPr>
      <w:tabs>
        <w:tab w:val="clear" w:pos="1440"/>
      </w:tabs>
      <w:outlineLvl w:val="1"/>
    </w:pPr>
    <w:rPr>
      <w:caps w:val="0"/>
    </w:rPr>
  </w:style>
  <w:style w:type="paragraph" w:customStyle="1" w:styleId="Pleading1L3">
    <w:name w:val="Pleading1_L3"/>
    <w:basedOn w:val="Pleading1L2"/>
    <w:next w:val="BodyText"/>
    <w:link w:val="Pleading1L3Char"/>
    <w:pPr>
      <w:numPr>
        <w:ilvl w:val="2"/>
      </w:numPr>
      <w:tabs>
        <w:tab w:val="clear" w:pos="2160"/>
      </w:tabs>
      <w:outlineLvl w:val="2"/>
    </w:pPr>
    <w:rPr>
      <w:b w:val="0"/>
      <w:u w:val="none"/>
    </w:rPr>
  </w:style>
  <w:style w:type="paragraph" w:customStyle="1" w:styleId="Pleading1L4">
    <w:name w:val="Pleading1_L4"/>
    <w:basedOn w:val="Pleading1L3"/>
    <w:next w:val="BodyText"/>
    <w:pPr>
      <w:numPr>
        <w:ilvl w:val="3"/>
      </w:numPr>
      <w:tabs>
        <w:tab w:val="clear" w:pos="2880"/>
      </w:tabs>
      <w:outlineLvl w:val="3"/>
    </w:pPr>
  </w:style>
  <w:style w:type="paragraph" w:customStyle="1" w:styleId="Pleading1L5">
    <w:name w:val="Pleading1_L5"/>
    <w:basedOn w:val="Pleading1L4"/>
    <w:next w:val="BodyText"/>
    <w:pPr>
      <w:numPr>
        <w:ilvl w:val="4"/>
      </w:numPr>
      <w:tabs>
        <w:tab w:val="clear" w:pos="3600"/>
      </w:tabs>
      <w:outlineLvl w:val="4"/>
    </w:pPr>
  </w:style>
  <w:style w:type="paragraph" w:customStyle="1" w:styleId="Pleading1L6">
    <w:name w:val="Pleading1_L6"/>
    <w:basedOn w:val="Pleading1L5"/>
    <w:next w:val="BodyText"/>
    <w:pPr>
      <w:numPr>
        <w:ilvl w:val="5"/>
      </w:numPr>
      <w:tabs>
        <w:tab w:val="clear" w:pos="4320"/>
      </w:tabs>
      <w:outlineLvl w:val="5"/>
    </w:pPr>
  </w:style>
  <w:style w:type="paragraph" w:customStyle="1" w:styleId="Pleading1L7">
    <w:name w:val="Pleading1_L7"/>
    <w:basedOn w:val="Pleading1L6"/>
    <w:next w:val="BodyText"/>
    <w:pPr>
      <w:numPr>
        <w:ilvl w:val="6"/>
      </w:numPr>
      <w:tabs>
        <w:tab w:val="clear" w:pos="5040"/>
      </w:tabs>
      <w:outlineLvl w:val="6"/>
    </w:pPr>
  </w:style>
  <w:style w:type="paragraph" w:customStyle="1" w:styleId="Pleading1L8">
    <w:name w:val="Pleading1_L8"/>
    <w:basedOn w:val="Pleading1L7"/>
    <w:next w:val="BodyText"/>
    <w:pPr>
      <w:numPr>
        <w:ilvl w:val="7"/>
      </w:numPr>
      <w:tabs>
        <w:tab w:val="clear" w:pos="5760"/>
      </w:tabs>
      <w:outlineLvl w:val="7"/>
    </w:pPr>
  </w:style>
  <w:style w:type="paragraph" w:customStyle="1" w:styleId="Pleading1L9">
    <w:name w:val="Pleading1_L9"/>
    <w:basedOn w:val="Pleading1L8"/>
    <w:next w:val="BodyText"/>
    <w:pPr>
      <w:numPr>
        <w:ilvl w:val="8"/>
      </w:numPr>
      <w:tabs>
        <w:tab w:val="clear" w:pos="6480"/>
      </w:tabs>
      <w:outlineLvl w:val="8"/>
    </w:pPr>
  </w:style>
  <w:style w:type="character" w:customStyle="1" w:styleId="Pleading1L2Char">
    <w:name w:val="Pleading1_L2 Char"/>
    <w:basedOn w:val="DefaultParagraphFont"/>
    <w:link w:val="Pleading1L2"/>
    <w:rPr>
      <w:b/>
      <w:sz w:val="24"/>
      <w:u w:val="single"/>
    </w:rPr>
  </w:style>
  <w:style w:type="character" w:customStyle="1" w:styleId="Pleading1L3Char">
    <w:name w:val="Pleading1_L3 Char"/>
    <w:basedOn w:val="DefaultParagraphFont"/>
    <w:link w:val="Pleading1L3"/>
    <w:rPr>
      <w:sz w:val="24"/>
    </w:rPr>
  </w:style>
  <w:style w:type="paragraph" w:customStyle="1" w:styleId="OutlineL1">
    <w:name w:val="Outline_L1"/>
    <w:basedOn w:val="Normal"/>
    <w:next w:val="BodyText"/>
    <w:pPr>
      <w:widowControl/>
      <w:numPr>
        <w:numId w:val="5"/>
      </w:numPr>
      <w:spacing w:after="240" w:line="240" w:lineRule="auto"/>
      <w:outlineLvl w:val="0"/>
    </w:pPr>
  </w:style>
  <w:style w:type="paragraph" w:customStyle="1" w:styleId="OutlineL2">
    <w:name w:val="Outline_L2"/>
    <w:basedOn w:val="OutlineL1"/>
    <w:next w:val="BodyText"/>
    <w:pPr>
      <w:numPr>
        <w:ilvl w:val="1"/>
      </w:numPr>
      <w:outlineLvl w:val="1"/>
    </w:pPr>
  </w:style>
  <w:style w:type="paragraph" w:customStyle="1" w:styleId="OutlineL3">
    <w:name w:val="Outline_L3"/>
    <w:basedOn w:val="OutlineL2"/>
    <w:next w:val="BodyText"/>
    <w:link w:val="OutlineL3Char"/>
    <w:pPr>
      <w:numPr>
        <w:ilvl w:val="2"/>
      </w:numPr>
      <w:outlineLvl w:val="2"/>
    </w:pPr>
  </w:style>
  <w:style w:type="character" w:customStyle="1" w:styleId="OutlineL3Char">
    <w:name w:val="Outline_L3 Char"/>
    <w:basedOn w:val="BodyTextChar"/>
    <w:link w:val="OutlineL3"/>
    <w:rPr>
      <w:sz w:val="24"/>
      <w:lang w:eastAsia="en-US"/>
    </w:rPr>
  </w:style>
  <w:style w:type="paragraph" w:customStyle="1" w:styleId="OutlineL4">
    <w:name w:val="Outline_L4"/>
    <w:basedOn w:val="OutlineL3"/>
    <w:next w:val="BodyText"/>
    <w:pPr>
      <w:numPr>
        <w:ilvl w:val="3"/>
      </w:numPr>
      <w:tabs>
        <w:tab w:val="clear" w:pos="2880"/>
        <w:tab w:val="num" w:pos="360"/>
      </w:tabs>
      <w:ind w:left="2880" w:hanging="720"/>
      <w:outlineLvl w:val="3"/>
    </w:pPr>
  </w:style>
  <w:style w:type="paragraph" w:customStyle="1" w:styleId="OutlineL5">
    <w:name w:val="Outline_L5"/>
    <w:basedOn w:val="OutlineL4"/>
    <w:next w:val="BodyText"/>
    <w:pPr>
      <w:numPr>
        <w:ilvl w:val="4"/>
      </w:numPr>
      <w:tabs>
        <w:tab w:val="clear" w:pos="1440"/>
        <w:tab w:val="num" w:pos="360"/>
        <w:tab w:val="num" w:pos="3600"/>
      </w:tabs>
      <w:ind w:left="3600" w:hanging="720"/>
      <w:outlineLvl w:val="4"/>
    </w:pPr>
  </w:style>
  <w:style w:type="paragraph" w:customStyle="1" w:styleId="OutlineL6">
    <w:name w:val="Outline_L6"/>
    <w:basedOn w:val="OutlineL5"/>
    <w:next w:val="BodyText"/>
    <w:pPr>
      <w:numPr>
        <w:ilvl w:val="5"/>
      </w:numPr>
      <w:tabs>
        <w:tab w:val="clear" w:pos="4320"/>
        <w:tab w:val="num" w:pos="360"/>
        <w:tab w:val="num" w:pos="3600"/>
      </w:tabs>
      <w:ind w:left="4320" w:hanging="720"/>
      <w:outlineLvl w:val="5"/>
    </w:pPr>
  </w:style>
  <w:style w:type="paragraph" w:customStyle="1" w:styleId="OutlineL7">
    <w:name w:val="Outline_L7"/>
    <w:basedOn w:val="OutlineL6"/>
    <w:next w:val="BodyText"/>
    <w:pPr>
      <w:numPr>
        <w:ilvl w:val="6"/>
      </w:numPr>
      <w:tabs>
        <w:tab w:val="clear" w:pos="5040"/>
        <w:tab w:val="num" w:pos="360"/>
        <w:tab w:val="num" w:pos="3600"/>
      </w:tabs>
      <w:ind w:left="5040" w:hanging="720"/>
      <w:outlineLvl w:val="6"/>
    </w:pPr>
  </w:style>
  <w:style w:type="paragraph" w:customStyle="1" w:styleId="OutlineL8">
    <w:name w:val="Outline_L8"/>
    <w:basedOn w:val="OutlineL7"/>
    <w:next w:val="BodyText"/>
    <w:pPr>
      <w:numPr>
        <w:ilvl w:val="7"/>
      </w:numPr>
      <w:tabs>
        <w:tab w:val="clear" w:pos="5760"/>
        <w:tab w:val="num" w:pos="360"/>
        <w:tab w:val="num" w:pos="3600"/>
      </w:tabs>
      <w:ind w:left="5760" w:hanging="720"/>
      <w:outlineLvl w:val="7"/>
    </w:pPr>
  </w:style>
  <w:style w:type="paragraph" w:customStyle="1" w:styleId="OutlineL9">
    <w:name w:val="Outline_L9"/>
    <w:basedOn w:val="OutlineL8"/>
    <w:next w:val="BodyText"/>
    <w:pPr>
      <w:numPr>
        <w:ilvl w:val="8"/>
      </w:numPr>
      <w:tabs>
        <w:tab w:val="clear" w:pos="6480"/>
        <w:tab w:val="num" w:pos="360"/>
        <w:tab w:val="num" w:pos="3600"/>
      </w:tabs>
      <w:ind w:left="6480" w:hanging="720"/>
      <w:outlineLvl w:val="8"/>
    </w:pPr>
  </w:style>
  <w:style w:type="paragraph" w:customStyle="1" w:styleId="BodyText1">
    <w:name w:val="Body Text 1"/>
    <w:basedOn w:val="Normal"/>
    <w:next w:val="BodyText"/>
    <w:pPr>
      <w:spacing w:line="480" w:lineRule="exact"/>
      <w:ind w:firstLine="720"/>
    </w:pPr>
  </w:style>
  <w:style w:type="character" w:styleId="Hyperlink">
    <w:name w:val="Hyperlink"/>
    <w:basedOn w:val="DefaultParagraphFont"/>
    <w:rPr>
      <w:color w:val="0000FF"/>
      <w:u w:val="single"/>
    </w:rPr>
  </w:style>
  <w:style w:type="paragraph" w:styleId="BalloonText">
    <w:name w:val="Balloon Text"/>
    <w:basedOn w:val="Normal"/>
    <w:link w:val="BalloonTextChar"/>
    <w:pPr>
      <w:spacing w:line="240" w:lineRule="auto"/>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styleId="FootnoteText">
    <w:name w:val="footnote text"/>
    <w:basedOn w:val="Normal"/>
    <w:link w:val="FootnoteTextChar"/>
    <w:rPr>
      <w:sz w:val="20"/>
    </w:rPr>
  </w:style>
  <w:style w:type="character" w:customStyle="1" w:styleId="FootnoteTextChar">
    <w:name w:val="Footnote Text Char"/>
    <w:basedOn w:val="DefaultParagraphFont"/>
    <w:link w:val="FootnoteText"/>
  </w:style>
  <w:style w:type="character" w:styleId="FootnoteReference">
    <w:name w:val="footnote reference"/>
    <w:basedOn w:val="DefaultParagraphFont"/>
    <w:rPr>
      <w:vertAlign w:val="superscript"/>
    </w:rPr>
  </w:style>
  <w:style w:type="paragraph" w:customStyle="1" w:styleId="FlushLeft">
    <w:name w:val="Flush Left"/>
    <w:aliases w:val="fl"/>
    <w:basedOn w:val="Normal"/>
    <w:rsid w:val="00656D7F"/>
  </w:style>
  <w:style w:type="paragraph" w:styleId="ListParagraph">
    <w:name w:val="List Paragraph"/>
    <w:basedOn w:val="Normal"/>
    <w:uiPriority w:val="34"/>
    <w:qFormat/>
    <w:rsid w:val="00E54065"/>
    <w:pPr>
      <w:ind w:left="720"/>
      <w:contextualSpacing/>
    </w:pPr>
  </w:style>
  <w:style w:type="character" w:customStyle="1" w:styleId="oneclick-link">
    <w:name w:val="oneclick-link"/>
    <w:basedOn w:val="DefaultParagraphFont"/>
    <w:rsid w:val="00A952C8"/>
  </w:style>
  <w:style w:type="paragraph" w:styleId="BodyTextFirstIndent">
    <w:name w:val="Body Text First Indent"/>
    <w:basedOn w:val="BodyText"/>
    <w:link w:val="BodyTextFirstIndentChar"/>
    <w:rsid w:val="00BB7D7D"/>
    <w:pPr>
      <w:spacing w:line="240" w:lineRule="exact"/>
      <w:ind w:firstLine="360"/>
    </w:pPr>
  </w:style>
  <w:style w:type="character" w:customStyle="1" w:styleId="BodyTextFirstIndentChar">
    <w:name w:val="Body Text First Indent Char"/>
    <w:basedOn w:val="BodyTextChar"/>
    <w:link w:val="BodyTextFirstIndent"/>
    <w:rsid w:val="00BB7D7D"/>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41846">
      <w:bodyDiv w:val="1"/>
      <w:marLeft w:val="0"/>
      <w:marRight w:val="0"/>
      <w:marTop w:val="0"/>
      <w:marBottom w:val="0"/>
      <w:divBdr>
        <w:top w:val="none" w:sz="0" w:space="0" w:color="auto"/>
        <w:left w:val="none" w:sz="0" w:space="0" w:color="auto"/>
        <w:bottom w:val="none" w:sz="0" w:space="0" w:color="auto"/>
        <w:right w:val="none" w:sz="0" w:space="0" w:color="auto"/>
      </w:divBdr>
      <w:divsChild>
        <w:div w:id="1290670371">
          <w:marLeft w:val="0"/>
          <w:marRight w:val="0"/>
          <w:marTop w:val="0"/>
          <w:marBottom w:val="0"/>
          <w:divBdr>
            <w:top w:val="none" w:sz="0" w:space="0" w:color="auto"/>
            <w:left w:val="none" w:sz="0" w:space="0" w:color="auto"/>
            <w:bottom w:val="none" w:sz="0" w:space="0" w:color="auto"/>
            <w:right w:val="none" w:sz="0" w:space="0" w:color="auto"/>
          </w:divBdr>
          <w:divsChild>
            <w:div w:id="15574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203061">
      <w:bodyDiv w:val="1"/>
      <w:marLeft w:val="0"/>
      <w:marRight w:val="0"/>
      <w:marTop w:val="0"/>
      <w:marBottom w:val="0"/>
      <w:divBdr>
        <w:top w:val="none" w:sz="0" w:space="0" w:color="auto"/>
        <w:left w:val="none" w:sz="0" w:space="0" w:color="auto"/>
        <w:bottom w:val="none" w:sz="0" w:space="0" w:color="auto"/>
        <w:right w:val="none" w:sz="0" w:space="0" w:color="auto"/>
      </w:divBdr>
      <w:divsChild>
        <w:div w:id="792746605">
          <w:marLeft w:val="0"/>
          <w:marRight w:val="0"/>
          <w:marTop w:val="0"/>
          <w:marBottom w:val="0"/>
          <w:divBdr>
            <w:top w:val="none" w:sz="0" w:space="0" w:color="auto"/>
            <w:left w:val="none" w:sz="0" w:space="0" w:color="auto"/>
            <w:bottom w:val="none" w:sz="0" w:space="0" w:color="auto"/>
            <w:right w:val="none" w:sz="0" w:space="0" w:color="auto"/>
          </w:divBdr>
          <w:divsChild>
            <w:div w:id="14011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7265">
      <w:bodyDiv w:val="1"/>
      <w:marLeft w:val="0"/>
      <w:marRight w:val="0"/>
      <w:marTop w:val="0"/>
      <w:marBottom w:val="0"/>
      <w:divBdr>
        <w:top w:val="none" w:sz="0" w:space="0" w:color="auto"/>
        <w:left w:val="none" w:sz="0" w:space="0" w:color="auto"/>
        <w:bottom w:val="none" w:sz="0" w:space="0" w:color="auto"/>
        <w:right w:val="none" w:sz="0" w:space="0" w:color="auto"/>
      </w:divBdr>
      <w:divsChild>
        <w:div w:id="1453671202">
          <w:marLeft w:val="0"/>
          <w:marRight w:val="0"/>
          <w:marTop w:val="0"/>
          <w:marBottom w:val="0"/>
          <w:divBdr>
            <w:top w:val="none" w:sz="0" w:space="0" w:color="auto"/>
            <w:left w:val="none" w:sz="0" w:space="0" w:color="auto"/>
            <w:bottom w:val="none" w:sz="0" w:space="0" w:color="auto"/>
            <w:right w:val="none" w:sz="0" w:space="0" w:color="auto"/>
          </w:divBdr>
          <w:divsChild>
            <w:div w:id="210779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506800">
      <w:bodyDiv w:val="1"/>
      <w:marLeft w:val="0"/>
      <w:marRight w:val="0"/>
      <w:marTop w:val="0"/>
      <w:marBottom w:val="0"/>
      <w:divBdr>
        <w:top w:val="none" w:sz="0" w:space="0" w:color="auto"/>
        <w:left w:val="none" w:sz="0" w:space="0" w:color="auto"/>
        <w:bottom w:val="none" w:sz="0" w:space="0" w:color="auto"/>
        <w:right w:val="none" w:sz="0" w:space="0" w:color="auto"/>
      </w:divBdr>
      <w:divsChild>
        <w:div w:id="932739281">
          <w:marLeft w:val="0"/>
          <w:marRight w:val="0"/>
          <w:marTop w:val="0"/>
          <w:marBottom w:val="0"/>
          <w:divBdr>
            <w:top w:val="none" w:sz="0" w:space="0" w:color="auto"/>
            <w:left w:val="none" w:sz="0" w:space="0" w:color="auto"/>
            <w:bottom w:val="none" w:sz="0" w:space="0" w:color="auto"/>
            <w:right w:val="none" w:sz="0" w:space="0" w:color="auto"/>
          </w:divBdr>
          <w:divsChild>
            <w:div w:id="166304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444196">
      <w:bodyDiv w:val="1"/>
      <w:marLeft w:val="0"/>
      <w:marRight w:val="0"/>
      <w:marTop w:val="0"/>
      <w:marBottom w:val="0"/>
      <w:divBdr>
        <w:top w:val="none" w:sz="0" w:space="0" w:color="auto"/>
        <w:left w:val="none" w:sz="0" w:space="0" w:color="auto"/>
        <w:bottom w:val="none" w:sz="0" w:space="0" w:color="auto"/>
        <w:right w:val="none" w:sz="0" w:space="0" w:color="auto"/>
      </w:divBdr>
      <w:divsChild>
        <w:div w:id="516575325">
          <w:marLeft w:val="0"/>
          <w:marRight w:val="0"/>
          <w:marTop w:val="0"/>
          <w:marBottom w:val="0"/>
          <w:divBdr>
            <w:top w:val="none" w:sz="0" w:space="0" w:color="auto"/>
            <w:left w:val="none" w:sz="0" w:space="0" w:color="auto"/>
            <w:bottom w:val="none" w:sz="0" w:space="0" w:color="auto"/>
            <w:right w:val="none" w:sz="0" w:space="0" w:color="auto"/>
          </w:divBdr>
          <w:divsChild>
            <w:div w:id="195238815">
              <w:marLeft w:val="0"/>
              <w:marRight w:val="0"/>
              <w:marTop w:val="0"/>
              <w:marBottom w:val="0"/>
              <w:divBdr>
                <w:top w:val="none" w:sz="0" w:space="0" w:color="auto"/>
                <w:left w:val="none" w:sz="0" w:space="0" w:color="auto"/>
                <w:bottom w:val="none" w:sz="0" w:space="0" w:color="auto"/>
                <w:right w:val="none" w:sz="0" w:space="0" w:color="auto"/>
              </w:divBdr>
              <w:divsChild>
                <w:div w:id="278147743">
                  <w:marLeft w:val="0"/>
                  <w:marRight w:val="0"/>
                  <w:marTop w:val="0"/>
                  <w:marBottom w:val="0"/>
                  <w:divBdr>
                    <w:top w:val="none" w:sz="0" w:space="0" w:color="auto"/>
                    <w:left w:val="none" w:sz="0" w:space="0" w:color="auto"/>
                    <w:bottom w:val="none" w:sz="0" w:space="0" w:color="auto"/>
                    <w:right w:val="none" w:sz="0" w:space="0" w:color="auto"/>
                  </w:divBdr>
                </w:div>
              </w:divsChild>
            </w:div>
            <w:div w:id="1652245088">
              <w:marLeft w:val="0"/>
              <w:marRight w:val="0"/>
              <w:marTop w:val="0"/>
              <w:marBottom w:val="0"/>
              <w:divBdr>
                <w:top w:val="none" w:sz="0" w:space="0" w:color="auto"/>
                <w:left w:val="none" w:sz="0" w:space="0" w:color="auto"/>
                <w:bottom w:val="none" w:sz="0" w:space="0" w:color="auto"/>
                <w:right w:val="none" w:sz="0" w:space="0" w:color="auto"/>
              </w:divBdr>
              <w:divsChild>
                <w:div w:id="1543591301">
                  <w:marLeft w:val="0"/>
                  <w:marRight w:val="0"/>
                  <w:marTop w:val="0"/>
                  <w:marBottom w:val="0"/>
                  <w:divBdr>
                    <w:top w:val="none" w:sz="0" w:space="0" w:color="auto"/>
                    <w:left w:val="none" w:sz="0" w:space="0" w:color="auto"/>
                    <w:bottom w:val="none" w:sz="0" w:space="0" w:color="auto"/>
                    <w:right w:val="none" w:sz="0" w:space="0" w:color="auto"/>
                  </w:divBdr>
                </w:div>
              </w:divsChild>
            </w:div>
            <w:div w:id="1863206801">
              <w:marLeft w:val="0"/>
              <w:marRight w:val="0"/>
              <w:marTop w:val="0"/>
              <w:marBottom w:val="0"/>
              <w:divBdr>
                <w:top w:val="none" w:sz="0" w:space="0" w:color="auto"/>
                <w:left w:val="none" w:sz="0" w:space="0" w:color="auto"/>
                <w:bottom w:val="none" w:sz="0" w:space="0" w:color="auto"/>
                <w:right w:val="none" w:sz="0" w:space="0" w:color="auto"/>
              </w:divBdr>
            </w:div>
            <w:div w:id="2108578971">
              <w:marLeft w:val="0"/>
              <w:marRight w:val="0"/>
              <w:marTop w:val="0"/>
              <w:marBottom w:val="0"/>
              <w:divBdr>
                <w:top w:val="none" w:sz="0" w:space="0" w:color="auto"/>
                <w:left w:val="none" w:sz="0" w:space="0" w:color="auto"/>
                <w:bottom w:val="none" w:sz="0" w:space="0" w:color="auto"/>
                <w:right w:val="none" w:sz="0" w:space="0" w:color="auto"/>
              </w:divBdr>
              <w:divsChild>
                <w:div w:id="62149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61088">
      <w:bodyDiv w:val="1"/>
      <w:marLeft w:val="0"/>
      <w:marRight w:val="0"/>
      <w:marTop w:val="0"/>
      <w:marBottom w:val="0"/>
      <w:divBdr>
        <w:top w:val="none" w:sz="0" w:space="0" w:color="auto"/>
        <w:left w:val="none" w:sz="0" w:space="0" w:color="auto"/>
        <w:bottom w:val="none" w:sz="0" w:space="0" w:color="auto"/>
        <w:right w:val="none" w:sz="0" w:space="0" w:color="auto"/>
      </w:divBdr>
      <w:divsChild>
        <w:div w:id="1819109244">
          <w:marLeft w:val="0"/>
          <w:marRight w:val="0"/>
          <w:marTop w:val="0"/>
          <w:marBottom w:val="0"/>
          <w:divBdr>
            <w:top w:val="none" w:sz="0" w:space="0" w:color="auto"/>
            <w:left w:val="none" w:sz="0" w:space="0" w:color="auto"/>
            <w:bottom w:val="none" w:sz="0" w:space="0" w:color="auto"/>
            <w:right w:val="none" w:sz="0" w:space="0" w:color="auto"/>
          </w:divBdr>
          <w:divsChild>
            <w:div w:id="461773075">
              <w:marLeft w:val="0"/>
              <w:marRight w:val="0"/>
              <w:marTop w:val="0"/>
              <w:marBottom w:val="0"/>
              <w:divBdr>
                <w:top w:val="none" w:sz="0" w:space="0" w:color="auto"/>
                <w:left w:val="none" w:sz="0" w:space="0" w:color="auto"/>
                <w:bottom w:val="none" w:sz="0" w:space="0" w:color="auto"/>
                <w:right w:val="none" w:sz="0" w:space="0" w:color="auto"/>
              </w:divBdr>
            </w:div>
            <w:div w:id="653488765">
              <w:marLeft w:val="0"/>
              <w:marRight w:val="0"/>
              <w:marTop w:val="0"/>
              <w:marBottom w:val="0"/>
              <w:divBdr>
                <w:top w:val="none" w:sz="0" w:space="0" w:color="auto"/>
                <w:left w:val="none" w:sz="0" w:space="0" w:color="auto"/>
                <w:bottom w:val="none" w:sz="0" w:space="0" w:color="auto"/>
                <w:right w:val="none" w:sz="0" w:space="0" w:color="auto"/>
              </w:divBdr>
              <w:divsChild>
                <w:div w:id="918632106">
                  <w:marLeft w:val="0"/>
                  <w:marRight w:val="0"/>
                  <w:marTop w:val="0"/>
                  <w:marBottom w:val="0"/>
                  <w:divBdr>
                    <w:top w:val="none" w:sz="0" w:space="0" w:color="auto"/>
                    <w:left w:val="none" w:sz="0" w:space="0" w:color="auto"/>
                    <w:bottom w:val="none" w:sz="0" w:space="0" w:color="auto"/>
                    <w:right w:val="none" w:sz="0" w:space="0" w:color="auto"/>
                  </w:divBdr>
                </w:div>
              </w:divsChild>
            </w:div>
            <w:div w:id="787512189">
              <w:marLeft w:val="0"/>
              <w:marRight w:val="0"/>
              <w:marTop w:val="0"/>
              <w:marBottom w:val="0"/>
              <w:divBdr>
                <w:top w:val="none" w:sz="0" w:space="0" w:color="auto"/>
                <w:left w:val="none" w:sz="0" w:space="0" w:color="auto"/>
                <w:bottom w:val="none" w:sz="0" w:space="0" w:color="auto"/>
                <w:right w:val="none" w:sz="0" w:space="0" w:color="auto"/>
              </w:divBdr>
              <w:divsChild>
                <w:div w:id="2128308116">
                  <w:marLeft w:val="0"/>
                  <w:marRight w:val="0"/>
                  <w:marTop w:val="0"/>
                  <w:marBottom w:val="0"/>
                  <w:divBdr>
                    <w:top w:val="none" w:sz="0" w:space="0" w:color="auto"/>
                    <w:left w:val="none" w:sz="0" w:space="0" w:color="auto"/>
                    <w:bottom w:val="none" w:sz="0" w:space="0" w:color="auto"/>
                    <w:right w:val="none" w:sz="0" w:space="0" w:color="auto"/>
                  </w:divBdr>
                </w:div>
              </w:divsChild>
            </w:div>
            <w:div w:id="1475684008">
              <w:marLeft w:val="0"/>
              <w:marRight w:val="0"/>
              <w:marTop w:val="0"/>
              <w:marBottom w:val="0"/>
              <w:divBdr>
                <w:top w:val="none" w:sz="0" w:space="0" w:color="auto"/>
                <w:left w:val="none" w:sz="0" w:space="0" w:color="auto"/>
                <w:bottom w:val="none" w:sz="0" w:space="0" w:color="auto"/>
                <w:right w:val="none" w:sz="0" w:space="0" w:color="auto"/>
              </w:divBdr>
              <w:divsChild>
                <w:div w:id="1456409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673428">
      <w:bodyDiv w:val="1"/>
      <w:marLeft w:val="0"/>
      <w:marRight w:val="0"/>
      <w:marTop w:val="0"/>
      <w:marBottom w:val="0"/>
      <w:divBdr>
        <w:top w:val="none" w:sz="0" w:space="0" w:color="auto"/>
        <w:left w:val="none" w:sz="0" w:space="0" w:color="auto"/>
        <w:bottom w:val="none" w:sz="0" w:space="0" w:color="auto"/>
        <w:right w:val="none" w:sz="0" w:space="0" w:color="auto"/>
      </w:divBdr>
      <w:divsChild>
        <w:div w:id="170608773">
          <w:marLeft w:val="0"/>
          <w:marRight w:val="0"/>
          <w:marTop w:val="0"/>
          <w:marBottom w:val="0"/>
          <w:divBdr>
            <w:top w:val="none" w:sz="0" w:space="0" w:color="auto"/>
            <w:left w:val="none" w:sz="0" w:space="0" w:color="auto"/>
            <w:bottom w:val="none" w:sz="0" w:space="0" w:color="auto"/>
            <w:right w:val="none" w:sz="0" w:space="0" w:color="auto"/>
          </w:divBdr>
          <w:divsChild>
            <w:div w:id="120594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8907727">
      <w:bodyDiv w:val="1"/>
      <w:marLeft w:val="0"/>
      <w:marRight w:val="0"/>
      <w:marTop w:val="0"/>
      <w:marBottom w:val="0"/>
      <w:divBdr>
        <w:top w:val="none" w:sz="0" w:space="0" w:color="auto"/>
        <w:left w:val="none" w:sz="0" w:space="0" w:color="auto"/>
        <w:bottom w:val="none" w:sz="0" w:space="0" w:color="auto"/>
        <w:right w:val="none" w:sz="0" w:space="0" w:color="auto"/>
      </w:divBdr>
      <w:divsChild>
        <w:div w:id="121923853">
          <w:marLeft w:val="0"/>
          <w:marRight w:val="0"/>
          <w:marTop w:val="0"/>
          <w:marBottom w:val="0"/>
          <w:divBdr>
            <w:top w:val="none" w:sz="0" w:space="0" w:color="auto"/>
            <w:left w:val="none" w:sz="0" w:space="0" w:color="auto"/>
            <w:bottom w:val="none" w:sz="0" w:space="0" w:color="auto"/>
            <w:right w:val="none" w:sz="0" w:space="0" w:color="auto"/>
          </w:divBdr>
          <w:divsChild>
            <w:div w:id="354120563">
              <w:marLeft w:val="0"/>
              <w:marRight w:val="0"/>
              <w:marTop w:val="0"/>
              <w:marBottom w:val="0"/>
              <w:divBdr>
                <w:top w:val="none" w:sz="0" w:space="0" w:color="auto"/>
                <w:left w:val="none" w:sz="0" w:space="0" w:color="auto"/>
                <w:bottom w:val="none" w:sz="0" w:space="0" w:color="auto"/>
                <w:right w:val="none" w:sz="0" w:space="0" w:color="auto"/>
              </w:divBdr>
              <w:divsChild>
                <w:div w:id="736048659">
                  <w:marLeft w:val="0"/>
                  <w:marRight w:val="0"/>
                  <w:marTop w:val="0"/>
                  <w:marBottom w:val="0"/>
                  <w:divBdr>
                    <w:top w:val="none" w:sz="0" w:space="0" w:color="auto"/>
                    <w:left w:val="none" w:sz="0" w:space="0" w:color="auto"/>
                    <w:bottom w:val="none" w:sz="0" w:space="0" w:color="auto"/>
                    <w:right w:val="none" w:sz="0" w:space="0" w:color="auto"/>
                  </w:divBdr>
                </w:div>
              </w:divsChild>
            </w:div>
            <w:div w:id="571352343">
              <w:marLeft w:val="0"/>
              <w:marRight w:val="0"/>
              <w:marTop w:val="0"/>
              <w:marBottom w:val="0"/>
              <w:divBdr>
                <w:top w:val="none" w:sz="0" w:space="0" w:color="auto"/>
                <w:left w:val="none" w:sz="0" w:space="0" w:color="auto"/>
                <w:bottom w:val="none" w:sz="0" w:space="0" w:color="auto"/>
                <w:right w:val="none" w:sz="0" w:space="0" w:color="auto"/>
              </w:divBdr>
              <w:divsChild>
                <w:div w:id="2081559391">
                  <w:marLeft w:val="0"/>
                  <w:marRight w:val="0"/>
                  <w:marTop w:val="0"/>
                  <w:marBottom w:val="0"/>
                  <w:divBdr>
                    <w:top w:val="none" w:sz="0" w:space="0" w:color="auto"/>
                    <w:left w:val="none" w:sz="0" w:space="0" w:color="auto"/>
                    <w:bottom w:val="none" w:sz="0" w:space="0" w:color="auto"/>
                    <w:right w:val="none" w:sz="0" w:space="0" w:color="auto"/>
                  </w:divBdr>
                </w:div>
              </w:divsChild>
            </w:div>
            <w:div w:id="676423781">
              <w:marLeft w:val="0"/>
              <w:marRight w:val="0"/>
              <w:marTop w:val="0"/>
              <w:marBottom w:val="0"/>
              <w:divBdr>
                <w:top w:val="none" w:sz="0" w:space="0" w:color="auto"/>
                <w:left w:val="none" w:sz="0" w:space="0" w:color="auto"/>
                <w:bottom w:val="none" w:sz="0" w:space="0" w:color="auto"/>
                <w:right w:val="none" w:sz="0" w:space="0" w:color="auto"/>
              </w:divBdr>
            </w:div>
            <w:div w:id="967590918">
              <w:marLeft w:val="0"/>
              <w:marRight w:val="0"/>
              <w:marTop w:val="0"/>
              <w:marBottom w:val="0"/>
              <w:divBdr>
                <w:top w:val="none" w:sz="0" w:space="0" w:color="auto"/>
                <w:left w:val="none" w:sz="0" w:space="0" w:color="auto"/>
                <w:bottom w:val="none" w:sz="0" w:space="0" w:color="auto"/>
                <w:right w:val="none" w:sz="0" w:space="0" w:color="auto"/>
              </w:divBdr>
              <w:divsChild>
                <w:div w:id="173075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141248">
      <w:bodyDiv w:val="1"/>
      <w:marLeft w:val="0"/>
      <w:marRight w:val="0"/>
      <w:marTop w:val="0"/>
      <w:marBottom w:val="0"/>
      <w:divBdr>
        <w:top w:val="none" w:sz="0" w:space="0" w:color="auto"/>
        <w:left w:val="none" w:sz="0" w:space="0" w:color="auto"/>
        <w:bottom w:val="none" w:sz="0" w:space="0" w:color="auto"/>
        <w:right w:val="none" w:sz="0" w:space="0" w:color="auto"/>
      </w:divBdr>
    </w:div>
    <w:div w:id="985167248">
      <w:bodyDiv w:val="1"/>
      <w:marLeft w:val="0"/>
      <w:marRight w:val="0"/>
      <w:marTop w:val="0"/>
      <w:marBottom w:val="0"/>
      <w:divBdr>
        <w:top w:val="none" w:sz="0" w:space="0" w:color="auto"/>
        <w:left w:val="none" w:sz="0" w:space="0" w:color="auto"/>
        <w:bottom w:val="none" w:sz="0" w:space="0" w:color="auto"/>
        <w:right w:val="none" w:sz="0" w:space="0" w:color="auto"/>
      </w:divBdr>
      <w:divsChild>
        <w:div w:id="418723779">
          <w:marLeft w:val="0"/>
          <w:marRight w:val="0"/>
          <w:marTop w:val="0"/>
          <w:marBottom w:val="0"/>
          <w:divBdr>
            <w:top w:val="none" w:sz="0" w:space="0" w:color="auto"/>
            <w:left w:val="none" w:sz="0" w:space="0" w:color="auto"/>
            <w:bottom w:val="none" w:sz="0" w:space="0" w:color="auto"/>
            <w:right w:val="none" w:sz="0" w:space="0" w:color="auto"/>
          </w:divBdr>
          <w:divsChild>
            <w:div w:id="137685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283780">
      <w:bodyDiv w:val="1"/>
      <w:marLeft w:val="0"/>
      <w:marRight w:val="0"/>
      <w:marTop w:val="0"/>
      <w:marBottom w:val="0"/>
      <w:divBdr>
        <w:top w:val="none" w:sz="0" w:space="0" w:color="auto"/>
        <w:left w:val="none" w:sz="0" w:space="0" w:color="auto"/>
        <w:bottom w:val="none" w:sz="0" w:space="0" w:color="auto"/>
        <w:right w:val="none" w:sz="0" w:space="0" w:color="auto"/>
      </w:divBdr>
    </w:div>
    <w:div w:id="1129394573">
      <w:bodyDiv w:val="1"/>
      <w:marLeft w:val="0"/>
      <w:marRight w:val="0"/>
      <w:marTop w:val="0"/>
      <w:marBottom w:val="0"/>
      <w:divBdr>
        <w:top w:val="none" w:sz="0" w:space="0" w:color="auto"/>
        <w:left w:val="none" w:sz="0" w:space="0" w:color="auto"/>
        <w:bottom w:val="none" w:sz="0" w:space="0" w:color="auto"/>
        <w:right w:val="none" w:sz="0" w:space="0" w:color="auto"/>
      </w:divBdr>
      <w:divsChild>
        <w:div w:id="1885097454">
          <w:marLeft w:val="0"/>
          <w:marRight w:val="0"/>
          <w:marTop w:val="0"/>
          <w:marBottom w:val="0"/>
          <w:divBdr>
            <w:top w:val="none" w:sz="0" w:space="0" w:color="auto"/>
            <w:left w:val="none" w:sz="0" w:space="0" w:color="auto"/>
            <w:bottom w:val="none" w:sz="0" w:space="0" w:color="auto"/>
            <w:right w:val="none" w:sz="0" w:space="0" w:color="auto"/>
          </w:divBdr>
          <w:divsChild>
            <w:div w:id="118443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081491">
      <w:bodyDiv w:val="1"/>
      <w:marLeft w:val="0"/>
      <w:marRight w:val="0"/>
      <w:marTop w:val="0"/>
      <w:marBottom w:val="0"/>
      <w:divBdr>
        <w:top w:val="none" w:sz="0" w:space="0" w:color="auto"/>
        <w:left w:val="none" w:sz="0" w:space="0" w:color="auto"/>
        <w:bottom w:val="none" w:sz="0" w:space="0" w:color="auto"/>
        <w:right w:val="none" w:sz="0" w:space="0" w:color="auto"/>
      </w:divBdr>
      <w:divsChild>
        <w:div w:id="1880623456">
          <w:marLeft w:val="0"/>
          <w:marRight w:val="0"/>
          <w:marTop w:val="0"/>
          <w:marBottom w:val="0"/>
          <w:divBdr>
            <w:top w:val="none" w:sz="0" w:space="0" w:color="auto"/>
            <w:left w:val="none" w:sz="0" w:space="0" w:color="auto"/>
            <w:bottom w:val="none" w:sz="0" w:space="0" w:color="auto"/>
            <w:right w:val="none" w:sz="0" w:space="0" w:color="auto"/>
          </w:divBdr>
          <w:divsChild>
            <w:div w:id="203503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854051">
      <w:bodyDiv w:val="1"/>
      <w:marLeft w:val="0"/>
      <w:marRight w:val="0"/>
      <w:marTop w:val="0"/>
      <w:marBottom w:val="0"/>
      <w:divBdr>
        <w:top w:val="none" w:sz="0" w:space="0" w:color="auto"/>
        <w:left w:val="none" w:sz="0" w:space="0" w:color="auto"/>
        <w:bottom w:val="none" w:sz="0" w:space="0" w:color="auto"/>
        <w:right w:val="none" w:sz="0" w:space="0" w:color="auto"/>
      </w:divBdr>
      <w:divsChild>
        <w:div w:id="721251244">
          <w:marLeft w:val="0"/>
          <w:marRight w:val="0"/>
          <w:marTop w:val="0"/>
          <w:marBottom w:val="0"/>
          <w:divBdr>
            <w:top w:val="none" w:sz="0" w:space="0" w:color="auto"/>
            <w:left w:val="none" w:sz="0" w:space="0" w:color="auto"/>
            <w:bottom w:val="none" w:sz="0" w:space="0" w:color="auto"/>
            <w:right w:val="none" w:sz="0" w:space="0" w:color="auto"/>
          </w:divBdr>
          <w:divsChild>
            <w:div w:id="167656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636052">
      <w:bodyDiv w:val="1"/>
      <w:marLeft w:val="0"/>
      <w:marRight w:val="0"/>
      <w:marTop w:val="0"/>
      <w:marBottom w:val="0"/>
      <w:divBdr>
        <w:top w:val="none" w:sz="0" w:space="0" w:color="auto"/>
        <w:left w:val="none" w:sz="0" w:space="0" w:color="auto"/>
        <w:bottom w:val="none" w:sz="0" w:space="0" w:color="auto"/>
        <w:right w:val="none" w:sz="0" w:space="0" w:color="auto"/>
      </w:divBdr>
      <w:divsChild>
        <w:div w:id="95902946">
          <w:marLeft w:val="0"/>
          <w:marRight w:val="0"/>
          <w:marTop w:val="0"/>
          <w:marBottom w:val="0"/>
          <w:divBdr>
            <w:top w:val="none" w:sz="0" w:space="0" w:color="auto"/>
            <w:left w:val="none" w:sz="0" w:space="0" w:color="auto"/>
            <w:bottom w:val="none" w:sz="0" w:space="0" w:color="auto"/>
            <w:right w:val="none" w:sz="0" w:space="0" w:color="auto"/>
          </w:divBdr>
          <w:divsChild>
            <w:div w:id="254366514">
              <w:marLeft w:val="0"/>
              <w:marRight w:val="0"/>
              <w:marTop w:val="0"/>
              <w:marBottom w:val="0"/>
              <w:divBdr>
                <w:top w:val="none" w:sz="0" w:space="0" w:color="auto"/>
                <w:left w:val="none" w:sz="0" w:space="0" w:color="auto"/>
                <w:bottom w:val="none" w:sz="0" w:space="0" w:color="auto"/>
                <w:right w:val="none" w:sz="0" w:space="0" w:color="auto"/>
              </w:divBdr>
              <w:divsChild>
                <w:div w:id="574434007">
                  <w:marLeft w:val="0"/>
                  <w:marRight w:val="0"/>
                  <w:marTop w:val="0"/>
                  <w:marBottom w:val="0"/>
                  <w:divBdr>
                    <w:top w:val="none" w:sz="0" w:space="0" w:color="auto"/>
                    <w:left w:val="none" w:sz="0" w:space="0" w:color="auto"/>
                    <w:bottom w:val="none" w:sz="0" w:space="0" w:color="auto"/>
                    <w:right w:val="none" w:sz="0" w:space="0" w:color="auto"/>
                  </w:divBdr>
                </w:div>
              </w:divsChild>
            </w:div>
            <w:div w:id="470951185">
              <w:marLeft w:val="0"/>
              <w:marRight w:val="0"/>
              <w:marTop w:val="0"/>
              <w:marBottom w:val="0"/>
              <w:divBdr>
                <w:top w:val="none" w:sz="0" w:space="0" w:color="auto"/>
                <w:left w:val="none" w:sz="0" w:space="0" w:color="auto"/>
                <w:bottom w:val="none" w:sz="0" w:space="0" w:color="auto"/>
                <w:right w:val="none" w:sz="0" w:space="0" w:color="auto"/>
              </w:divBdr>
              <w:divsChild>
                <w:div w:id="931860408">
                  <w:marLeft w:val="0"/>
                  <w:marRight w:val="0"/>
                  <w:marTop w:val="0"/>
                  <w:marBottom w:val="0"/>
                  <w:divBdr>
                    <w:top w:val="none" w:sz="0" w:space="0" w:color="auto"/>
                    <w:left w:val="none" w:sz="0" w:space="0" w:color="auto"/>
                    <w:bottom w:val="none" w:sz="0" w:space="0" w:color="auto"/>
                    <w:right w:val="none" w:sz="0" w:space="0" w:color="auto"/>
                  </w:divBdr>
                </w:div>
              </w:divsChild>
            </w:div>
            <w:div w:id="1118986430">
              <w:marLeft w:val="0"/>
              <w:marRight w:val="0"/>
              <w:marTop w:val="0"/>
              <w:marBottom w:val="0"/>
              <w:divBdr>
                <w:top w:val="none" w:sz="0" w:space="0" w:color="auto"/>
                <w:left w:val="none" w:sz="0" w:space="0" w:color="auto"/>
                <w:bottom w:val="none" w:sz="0" w:space="0" w:color="auto"/>
                <w:right w:val="none" w:sz="0" w:space="0" w:color="auto"/>
              </w:divBdr>
            </w:div>
            <w:div w:id="1742169020">
              <w:marLeft w:val="0"/>
              <w:marRight w:val="0"/>
              <w:marTop w:val="0"/>
              <w:marBottom w:val="0"/>
              <w:divBdr>
                <w:top w:val="none" w:sz="0" w:space="0" w:color="auto"/>
                <w:left w:val="none" w:sz="0" w:space="0" w:color="auto"/>
                <w:bottom w:val="none" w:sz="0" w:space="0" w:color="auto"/>
                <w:right w:val="none" w:sz="0" w:space="0" w:color="auto"/>
              </w:divBdr>
              <w:divsChild>
                <w:div w:id="19858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139853">
      <w:bodyDiv w:val="1"/>
      <w:marLeft w:val="0"/>
      <w:marRight w:val="0"/>
      <w:marTop w:val="0"/>
      <w:marBottom w:val="0"/>
      <w:divBdr>
        <w:top w:val="none" w:sz="0" w:space="0" w:color="auto"/>
        <w:left w:val="none" w:sz="0" w:space="0" w:color="auto"/>
        <w:bottom w:val="none" w:sz="0" w:space="0" w:color="auto"/>
        <w:right w:val="none" w:sz="0" w:space="0" w:color="auto"/>
      </w:divBdr>
      <w:divsChild>
        <w:div w:id="28726461">
          <w:marLeft w:val="0"/>
          <w:marRight w:val="0"/>
          <w:marTop w:val="0"/>
          <w:marBottom w:val="0"/>
          <w:divBdr>
            <w:top w:val="none" w:sz="0" w:space="0" w:color="auto"/>
            <w:left w:val="none" w:sz="0" w:space="0" w:color="auto"/>
            <w:bottom w:val="none" w:sz="0" w:space="0" w:color="auto"/>
            <w:right w:val="none" w:sz="0" w:space="0" w:color="auto"/>
          </w:divBdr>
          <w:divsChild>
            <w:div w:id="151264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12025">
      <w:bodyDiv w:val="1"/>
      <w:marLeft w:val="0"/>
      <w:marRight w:val="0"/>
      <w:marTop w:val="0"/>
      <w:marBottom w:val="0"/>
      <w:divBdr>
        <w:top w:val="none" w:sz="0" w:space="0" w:color="auto"/>
        <w:left w:val="none" w:sz="0" w:space="0" w:color="auto"/>
        <w:bottom w:val="none" w:sz="0" w:space="0" w:color="auto"/>
        <w:right w:val="none" w:sz="0" w:space="0" w:color="auto"/>
      </w:divBdr>
      <w:divsChild>
        <w:div w:id="1308582869">
          <w:marLeft w:val="0"/>
          <w:marRight w:val="0"/>
          <w:marTop w:val="0"/>
          <w:marBottom w:val="0"/>
          <w:divBdr>
            <w:top w:val="none" w:sz="0" w:space="0" w:color="auto"/>
            <w:left w:val="none" w:sz="0" w:space="0" w:color="auto"/>
            <w:bottom w:val="none" w:sz="0" w:space="0" w:color="auto"/>
            <w:right w:val="none" w:sz="0" w:space="0" w:color="auto"/>
          </w:divBdr>
          <w:divsChild>
            <w:div w:id="95617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456867">
      <w:bodyDiv w:val="1"/>
      <w:marLeft w:val="0"/>
      <w:marRight w:val="0"/>
      <w:marTop w:val="0"/>
      <w:marBottom w:val="0"/>
      <w:divBdr>
        <w:top w:val="none" w:sz="0" w:space="0" w:color="auto"/>
        <w:left w:val="none" w:sz="0" w:space="0" w:color="auto"/>
        <w:bottom w:val="none" w:sz="0" w:space="0" w:color="auto"/>
        <w:right w:val="none" w:sz="0" w:space="0" w:color="auto"/>
      </w:divBdr>
      <w:divsChild>
        <w:div w:id="1135636815">
          <w:marLeft w:val="0"/>
          <w:marRight w:val="0"/>
          <w:marTop w:val="0"/>
          <w:marBottom w:val="0"/>
          <w:divBdr>
            <w:top w:val="none" w:sz="0" w:space="0" w:color="auto"/>
            <w:left w:val="none" w:sz="0" w:space="0" w:color="auto"/>
            <w:bottom w:val="none" w:sz="0" w:space="0" w:color="auto"/>
            <w:right w:val="none" w:sz="0" w:space="0" w:color="auto"/>
          </w:divBdr>
          <w:divsChild>
            <w:div w:id="142949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rcope@sbcda.org"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mailto:rajmaline@aol.com"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mraymondmcdonald@gmail.com" TargetMode="External"/><Relationship Id="rId10" Type="http://schemas.openxmlformats.org/officeDocument/2006/relationships/header" Target="header2.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melissa.mandel@doj.ca.gov"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MacPac\Templates\Pleadin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14477-5D34-4C5D-B86D-D0A2C3065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Pleading</Template>
  <TotalTime>1</TotalTime>
  <Pages>13</Pages>
  <Words>3818</Words>
  <Characters>21307</Characters>
  <Application>Microsoft Office Word</Application>
  <DocSecurity>4</DocSecurity>
  <Lines>177</Lines>
  <Paragraphs>50</Paragraphs>
  <ScaleCrop>false</ScaleCrop>
  <HeadingPairs>
    <vt:vector size="2" baseType="variant">
      <vt:variant>
        <vt:lpstr>Title</vt:lpstr>
      </vt:variant>
      <vt:variant>
        <vt:i4>1</vt:i4>
      </vt:variant>
    </vt:vector>
  </HeadingPairs>
  <TitlesOfParts>
    <vt:vector size="1" baseType="lpstr">
      <vt:lpstr>Pleading Template</vt:lpstr>
    </vt:vector>
  </TitlesOfParts>
  <Company/>
  <LinksUpToDate>false</LinksUpToDate>
  <CharactersWithSpaces>25075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Pleading Template</dc:title>
  <dc:subject/>
  <dc:creator>Letty Kirkland</dc:creator>
  <cp:keywords/>
  <dc:description/>
  <cp:lastModifiedBy>Stephen G. Larson</cp:lastModifiedBy>
  <cp:revision>2</cp:revision>
  <cp:lastPrinted>2016-04-14T16:21:00Z</cp:lastPrinted>
  <dcterms:created xsi:type="dcterms:W3CDTF">2016-05-12T15:22:00Z</dcterms:created>
  <dcterms:modified xsi:type="dcterms:W3CDTF">2016-05-12T15:22:00Z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LA/488308.1</vt:lpwstr>
  </property>
  <property fmtid="{D5CDD505-2E9C-101B-9397-08002B2CF9AE}" pid="3" name="DocIDContent">
    <vt:lpwstr>0|/|1|.|2|</vt:lpwstr>
  </property>
</Properties>
</file>